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156" w:afterLines="50" w:line="480" w:lineRule="auto"/>
        <w:ind w:firstLine="883"/>
        <w:jc w:val="both"/>
        <w:rPr>
          <w:rFonts w:ascii="黑体" w:hAnsi="黑体" w:eastAsia="黑体" w:cs="黑体"/>
          <w:b/>
          <w:bCs/>
          <w:kern w:val="0"/>
          <w:sz w:val="44"/>
          <w:szCs w:val="44"/>
        </w:rPr>
      </w:pPr>
      <w:r>
        <w:rPr>
          <w:rFonts w:hint="eastAsia" w:ascii="黑体" w:hAnsi="黑体" w:eastAsia="黑体" w:cs="黑体"/>
          <w:b/>
          <w:bCs/>
          <w:kern w:val="0"/>
          <w:sz w:val="44"/>
          <w:szCs w:val="44"/>
        </w:rPr>
        <w:t>南方科技大学信息化项目用户需求书</w:t>
      </w:r>
    </w:p>
    <w:p>
      <w:pPr>
        <w:pStyle w:val="2"/>
        <w:ind w:firstLine="240"/>
      </w:pPr>
    </w:p>
    <w:p>
      <w:pPr>
        <w:pStyle w:val="4"/>
        <w:numPr>
          <w:ilvl w:val="0"/>
          <w:numId w:val="0"/>
        </w:numPr>
        <w:ind w:leftChars="0"/>
      </w:pPr>
      <w:r>
        <w:rPr>
          <w:rFonts w:hint="eastAsia"/>
          <w:lang w:val="en-US" w:eastAsia="zh-CN"/>
        </w:rPr>
        <w:t>一、</w:t>
      </w:r>
      <w:r>
        <w:rPr>
          <w:rFonts w:hint="eastAsia"/>
        </w:rPr>
        <w:t>项目背景</w:t>
      </w:r>
    </w:p>
    <w:p>
      <w:pPr>
        <w:pStyle w:val="2"/>
        <w:spacing w:after="0"/>
        <w:ind w:left="0" w:leftChars="0" w:firstLine="480" w:firstLineChars="200"/>
        <w:jc w:val="both"/>
        <w:rPr>
          <w:rFonts w:hint="eastAsia" w:ascii="仿宋" w:hAnsi="仿宋" w:eastAsia="仿宋" w:cs="仿宋"/>
          <w:lang w:val="en-US" w:eastAsia="zh-CN"/>
        </w:rPr>
      </w:pPr>
      <w:r>
        <w:rPr>
          <w:rFonts w:hint="eastAsia" w:ascii="仿宋" w:hAnsi="仿宋" w:eastAsia="仿宋" w:cs="仿宋"/>
          <w:lang w:val="en-US" w:eastAsia="zh-CN"/>
        </w:rPr>
        <w:t>医院尚未建设相关的信息化系统支撑病种分值付费（DIP）改革工作开展，目前主要依靠相关职能科室基于医保数据和临床科室实际结算数据做人工数据处理，但手工处理方式的局限性日益凸显，已无法适应DIP支付方式改革对医院的新要求不利于医院进行精细化管理。</w:t>
      </w:r>
    </w:p>
    <w:p>
      <w:pPr>
        <w:pStyle w:val="2"/>
        <w:spacing w:after="0"/>
        <w:ind w:left="0" w:leftChars="0" w:firstLine="480" w:firstLineChars="200"/>
        <w:jc w:val="both"/>
      </w:pPr>
      <w:r>
        <w:rPr>
          <w:rFonts w:hint="eastAsia" w:ascii="仿宋" w:hAnsi="仿宋" w:eastAsia="仿宋" w:cs="仿宋"/>
          <w:lang w:val="en-US" w:eastAsia="zh-CN"/>
        </w:rPr>
        <w:t>为积极落实《广东省按病种分值付费（DIP）医疗保障经办管理规程（试行）》及《深圳市医疗保障住院医疗费用按病种分值付费（DIP）实施细则（试行）》等政策部署，深化医保支付方式改革，现拟申请采购一套病种分值付费管理系统以推进医院DIP应用系统的建设工作，更好辅助医护人员开展工作，进一步提升医院精细化管理能力和信息化管理决策能力。</w:t>
      </w:r>
    </w:p>
    <w:p>
      <w:pPr>
        <w:pStyle w:val="4"/>
        <w:numPr>
          <w:ilvl w:val="0"/>
          <w:numId w:val="0"/>
        </w:numPr>
        <w:ind w:leftChars="0"/>
        <w:rPr>
          <w:rFonts w:hint="eastAsia" w:eastAsia="宋体"/>
          <w:lang w:eastAsia="zh-CN"/>
        </w:rPr>
      </w:pPr>
      <w:r>
        <w:rPr>
          <w:rFonts w:hint="eastAsia"/>
          <w:lang w:val="en-US" w:eastAsia="zh-CN"/>
        </w:rPr>
        <w:t>二、</w:t>
      </w:r>
      <w:r>
        <w:rPr>
          <w:rFonts w:hint="eastAsia"/>
        </w:rPr>
        <w:t>项目</w:t>
      </w:r>
      <w:r>
        <w:rPr>
          <w:rFonts w:hint="eastAsia"/>
          <w:lang w:val="en-US" w:eastAsia="zh-CN"/>
        </w:rPr>
        <w:t>要求</w:t>
      </w:r>
    </w:p>
    <w:p>
      <w:pPr>
        <w:pStyle w:val="5"/>
        <w:numPr>
          <w:ilvl w:val="1"/>
          <w:numId w:val="0"/>
        </w:numPr>
        <w:bidi w:val="0"/>
        <w:ind w:leftChars="0"/>
        <w:rPr>
          <w:rFonts w:hint="eastAsia" w:ascii="Times New Roman" w:hAnsi="Times New Roman"/>
          <w:lang w:val="en-US" w:eastAsia="zh-CN"/>
        </w:rPr>
      </w:pPr>
      <w:r>
        <w:rPr>
          <w:rFonts w:hint="eastAsia" w:ascii="Times New Roman" w:hAnsi="Times New Roman"/>
          <w:lang w:val="en-US" w:eastAsia="zh-CN"/>
        </w:rPr>
        <w:t>2.1建设内容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80" w:firstLineChars="200"/>
        <w:textAlignment w:val="auto"/>
        <w:rPr>
          <w:rFonts w:hint="default" w:ascii="仿宋" w:hAnsi="仿宋" w:eastAsia="仿宋" w:cs="仿宋"/>
          <w:lang w:val="en-US" w:eastAsia="zh-CN"/>
        </w:rPr>
      </w:pPr>
      <w:r>
        <w:rPr>
          <w:rFonts w:hint="eastAsia" w:ascii="仿宋" w:hAnsi="仿宋" w:eastAsia="仿宋" w:cs="仿宋"/>
          <w:lang w:val="en-US" w:eastAsia="zh-CN"/>
        </w:rPr>
        <w:t>通过对接医院HIS系统，建设医院智慧助手，含分组预测、编码质控、分组推荐、非编码质控、病案评分、国考绩效、分组模拟、医保申诉等功能模块，辅助定位病案问题，帮助医务人员进行重点业务管理，提高医务人员工作效率。</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80" w:firstLineChars="200"/>
        <w:textAlignment w:val="auto"/>
        <w:rPr>
          <w:rFonts w:hint="default" w:ascii="仿宋" w:hAnsi="仿宋" w:eastAsia="仿宋" w:cs="仿宋"/>
          <w:lang w:val="en-US" w:eastAsia="zh-CN"/>
        </w:rPr>
      </w:pPr>
      <w:r>
        <w:rPr>
          <w:rFonts w:hint="eastAsia" w:ascii="仿宋" w:hAnsi="仿宋" w:eastAsia="仿宋" w:cs="仿宋"/>
          <w:lang w:val="en-US" w:eastAsia="zh-CN"/>
        </w:rPr>
        <w:t>按照医保34号文件要求，通过建设基础数据治理平台辅助开展结算清单的治理工作，支持实时发现结算清单数据上传后与医院首页数据对照的差异，实现医保结算清单的可视化生成和全方位质控。</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80" w:firstLineChars="200"/>
        <w:textAlignment w:val="auto"/>
        <w:rPr>
          <w:rFonts w:hint="default" w:ascii="仿宋" w:hAnsi="仿宋" w:eastAsia="仿宋" w:cs="仿宋"/>
          <w:lang w:val="en-US" w:eastAsia="zh-CN"/>
        </w:rPr>
      </w:pPr>
      <w:r>
        <w:rPr>
          <w:rFonts w:hint="eastAsia" w:ascii="仿宋" w:hAnsi="仿宋" w:eastAsia="仿宋" w:cs="仿宋"/>
          <w:lang w:val="en-US" w:eastAsia="zh-CN"/>
        </w:rPr>
        <w:t>通过院内精细化管理平台建设，多维度、多层次进行费用预测指标分析和综合能力评价指标分析，以便医院管理部门能够快速掌握全院DIP整体实施情况，进一步提高医院的精细化管理水平。</w:t>
      </w:r>
    </w:p>
    <w:p>
      <w:pPr>
        <w:ind w:firstLine="480"/>
        <w:rPr>
          <w:rFonts w:hint="eastAsia" w:ascii="仿宋" w:hAnsi="仿宋" w:eastAsia="仿宋" w:cs="仿宋"/>
          <w:lang w:val="en-US" w:eastAsia="zh-CN"/>
        </w:rPr>
      </w:pPr>
      <w:r>
        <w:rPr>
          <w:rFonts w:hint="eastAsia" w:ascii="仿宋" w:hAnsi="仿宋" w:eastAsia="仿宋" w:cs="仿宋"/>
          <w:lang w:val="en-US" w:eastAsia="zh-CN"/>
        </w:rPr>
        <w:t>本项目的详细建设清单如下：</w:t>
      </w:r>
    </w:p>
    <w:p>
      <w:pPr>
        <w:pStyle w:val="2"/>
        <w:rPr>
          <w:rFonts w:hint="eastAsia"/>
          <w:lang w:val="en-US" w:eastAsia="zh-CN"/>
        </w:rPr>
      </w:pPr>
    </w:p>
    <w:tbl>
      <w:tblPr>
        <w:tblStyle w:val="12"/>
        <w:tblW w:w="8320" w:type="dxa"/>
        <w:tblInd w:w="102" w:type="dxa"/>
        <w:tblLayout w:type="fixed"/>
        <w:tblCellMar>
          <w:top w:w="0" w:type="dxa"/>
          <w:left w:w="108" w:type="dxa"/>
          <w:bottom w:w="0" w:type="dxa"/>
          <w:right w:w="108" w:type="dxa"/>
        </w:tblCellMar>
      </w:tblPr>
      <w:tblGrid>
        <w:gridCol w:w="744"/>
        <w:gridCol w:w="705"/>
        <w:gridCol w:w="807"/>
        <w:gridCol w:w="757"/>
        <w:gridCol w:w="5307"/>
      </w:tblGrid>
      <w:tr>
        <w:tblPrEx>
          <w:tblCellMar>
            <w:top w:w="0" w:type="dxa"/>
            <w:left w:w="108" w:type="dxa"/>
            <w:bottom w:w="0" w:type="dxa"/>
            <w:right w:w="108" w:type="dxa"/>
          </w:tblCellMar>
        </w:tblPrEx>
        <w:trPr>
          <w:tblHeader/>
        </w:trPr>
        <w:tc>
          <w:tcPr>
            <w:tcW w:w="74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一级菜单</w:t>
            </w:r>
          </w:p>
        </w:tc>
        <w:tc>
          <w:tcPr>
            <w:tcW w:w="7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二级菜单</w:t>
            </w:r>
          </w:p>
        </w:tc>
        <w:tc>
          <w:tcPr>
            <w:tcW w:w="80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三级菜单</w:t>
            </w:r>
          </w:p>
        </w:tc>
        <w:tc>
          <w:tcPr>
            <w:tcW w:w="75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四级菜单</w:t>
            </w:r>
          </w:p>
        </w:tc>
        <w:tc>
          <w:tcPr>
            <w:tcW w:w="530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功能描述</w:t>
            </w:r>
          </w:p>
        </w:tc>
      </w:tr>
      <w:tr>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医院智慧助手</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DIP智能助手</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分组预测</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功能内置于医院HIS系统、病案系统，在病人入院初期、出院前后根据医生填写的病例信息，提示预分组结果，及对应的医保付费预测、倍率区间等信息，辅助临床医师提前知晓分组结果及付费信息；并提供当前病案与标杆值之间的对比，包括住院费用、平均住院日、药占比、耗材比等指标。</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编码质控</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功能内置于医院HIS系统、病案系统，对病例的诊断编码和手术及操作编码进行全方位编码质控，从错误、疑似、建议等多个维度展开提示，包括主诊断选择错误、重复编码、合并编码等质控内容，并提示具体的错误原因及修改建议。</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分组推荐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功能内置于医院HIS系统、病案系统，根据医师填写的病例诊断及手术信息，形成智能推荐方案，提示医师不同的诊断和手术方案下病例可能的分组结果及费用信息</w:t>
            </w:r>
            <w:r>
              <w:rPr>
                <w:rFonts w:hint="eastAsia" w:ascii="仿宋" w:hAnsi="仿宋" w:eastAsia="仿宋" w:cs="仿宋"/>
                <w:sz w:val="24"/>
                <w:szCs w:val="24"/>
                <w:lang w:eastAsia="zh-CN"/>
              </w:rPr>
              <w:t>。</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非编码质控</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数据质控逻辑内置于医院HIS系统、病案系统，本功能从完整性、逻辑性即时提供针对于每份病案提供质控的结果，并提示具体的错误原因，辅助工作人员定位病案问题。</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病案评分</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功能内置于医院HIS系统、病案系统，从总体得分、完整性得分、逻辑性得分等维度，展示病案的扣分情况，并提供具体的扣分原因，辅助工作人员定位病案问题。</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国考绩效</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功能内置于医院HIS系统，展示病人手术并发症和四级手术情况，辅助工作人员预估国考评分结果</w:t>
            </w:r>
            <w:r>
              <w:rPr>
                <w:rFonts w:hint="eastAsia" w:ascii="仿宋" w:hAnsi="仿宋" w:eastAsia="仿宋" w:cs="仿宋"/>
                <w:sz w:val="24"/>
                <w:szCs w:val="24"/>
                <w:lang w:eastAsia="zh-CN"/>
              </w:rPr>
              <w:t>。</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分组模拟</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功能内置于医院HIS系统，医生可双击诊断及手术的方式调整主诊断与次诊断，主手术与次手术的顺序，从而对不同诊断与手术组合进行分组模拟。</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医保申诉</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功能内置于HIS系统，对于急诊入院的危</w:t>
            </w:r>
            <w:r>
              <w:rPr>
                <w:rFonts w:hint="eastAsia" w:ascii="仿宋" w:hAnsi="仿宋" w:eastAsia="仿宋" w:cs="仿宋"/>
                <w:sz w:val="24"/>
                <w:szCs w:val="24"/>
                <w:lang w:val="en-US" w:eastAsia="zh-CN"/>
              </w:rPr>
              <w:t>急</w:t>
            </w:r>
            <w:r>
              <w:rPr>
                <w:rFonts w:hint="eastAsia" w:ascii="仿宋" w:hAnsi="仿宋" w:eastAsia="仿宋" w:cs="仿宋"/>
                <w:sz w:val="24"/>
                <w:szCs w:val="24"/>
              </w:rPr>
              <w:t>抢救患者、在医保经办机构备案的新技术、新项目等其他临床医生认为可申诉的病例由医生选择进行标记，为年终清算时医保付费申诉提供佐证材料。</w:t>
            </w:r>
          </w:p>
        </w:tc>
      </w:tr>
      <w:tr>
        <w:tblPrEx>
          <w:tblCellMar>
            <w:top w:w="0" w:type="dxa"/>
            <w:left w:w="108" w:type="dxa"/>
            <w:bottom w:w="0" w:type="dxa"/>
            <w:right w:w="108" w:type="dxa"/>
          </w:tblCellMar>
        </w:tblPrEx>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基础数据治理平台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治理基础配置</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清单基础配置</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可对医院医保结算清单治理在框架范围内进行流程设置，包括流程步骤、医保结算清单上传提交等前置条件</w:t>
            </w:r>
            <w:r>
              <w:rPr>
                <w:rFonts w:hint="eastAsia" w:ascii="仿宋" w:hAnsi="仿宋" w:eastAsia="仿宋" w:cs="仿宋"/>
                <w:sz w:val="24"/>
                <w:szCs w:val="24"/>
                <w:lang w:eastAsia="zh-CN"/>
              </w:rPr>
              <w:t>。</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质控规则配置</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该功能可对系统内置的病案首页、医保结算清单质控规则进行配置，包括开启、停用、更新等，以此实现用户对质控规则的深度可视化管理。满足不断变化更新的质控规则扩展需求。</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结算清单治理</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清单上传总览</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系统收集病例全流程住院信息，按照医保34号文件标准生成可视化的医保结算清单。从结算清单的完整性、逻辑性、合理性与编码问题等多个维度展示结算清单的质控情况，统计分析异常校验类型TOP10，辅助医院工作人员分析病案问题。支持灵活下钻查看某问题结算清单的质控详情。</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结算清单预览</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结算清单提交前质控</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根据医保34号文件与病例实际，对该结算清单的病例的完整性、逻辑性、合理性与编码问题进行全方位质控。质控规则包括但不限于主诊断灰码、手术灰码、肿瘤组疑似入组错误等质控内容并提示具体的错误原因及修改建议。</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结算清单修改</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提供结算清单可修改部分相关录入功能，医院可按照质控规则相关提示对结算清单进行修改。每步修改痕迹对应的修改时间与账户都会归档记录。</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结算清单保存</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修改完后的结算清单可直接由系统进行保存，支持缓存功能，对于未修改完的结算清单可中途保存后之后再次进行修改。</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结算清单上传</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系统直接对接医保局相关上传接口，对于通过医保结算清单质控的病例即可上传。可视当地政策对已上传的结算清单进行结算清单进行提交确认</w:t>
            </w:r>
            <w:r>
              <w:rPr>
                <w:rFonts w:hint="eastAsia" w:ascii="仿宋" w:hAnsi="仿宋" w:eastAsia="仿宋" w:cs="仿宋"/>
                <w:sz w:val="24"/>
                <w:szCs w:val="24"/>
                <w:lang w:eastAsia="zh-CN"/>
              </w:rPr>
              <w:t>。</w:t>
            </w:r>
          </w:p>
        </w:tc>
      </w:tr>
      <w:tr>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院内精细化管理平台</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医院病案清单管理</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病案首页管理</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病案首页总览</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总览医院整体病案质控情况，从医院总体情况、完整性、逻辑性、医保分组质控等多个维度展示病案的质控情况，并对质控指标进行趋势对比，统计分析异常校验类型TOP10，以及医保分组质控情况等，辅助医院工作人员分析病案问题。</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病案首页质控</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依据国家卫健委发《住院病案首页数据采集接口标准》与《住院病案首页数据质量管理与控制指标》对病案填写的完整度、逻辑性进行分析，分版块统计填写完整的病案数量及占比，从费用、编码、日期等维度校验病案填写的合理性和规范性，提供每份病案完整度填写的详细分析结果。并基于质控结果形成病案质量评分，支持下钻查看每份病案的得分详情。各科室、病案科、管理人员可依据此数据，整体把控自身病案填写情况，明确病案填写整改方向。</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病案首页评分</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本功能从总体得分、完整性得分、逻辑性得分等维度，展示病案的扣分情况，并提供具体的扣分原因，辅助工作人员定位病案问题。</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病案编码对比</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本功能对医生HIS端填写病案首页与病案科修正病案首页进行对比，找寻医生在填写病案首页中的常见问题并督促其改正，并统计病案科在其中矫正工作量。</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结算清单管理</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结算清单总览</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总览医院整体结算清单质量，从总体情况、完整性、逻辑性、合理性、编码问题与诊断手术漏填错填等多个维度展示结算清单的质控情况，并对质控指标进行趋势对比，统计分析异常校验类型TOP10，辅助医院工作人员分析结算清单问题。</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结算清单质控</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基于国家医保局34号文件《医保结算清单填写规范》、十五项医疗保障信息业务编码标准等政策文件，集成填报规范质控、疾病编码质控、信息业务编码质控、分组逻辑、资源消耗等模型，为临床医生提供辅助诊疗、规范分组、付费预测、编码推荐、清单质控等全过程信息支撑</w:t>
            </w:r>
            <w:r>
              <w:rPr>
                <w:rFonts w:hint="eastAsia" w:ascii="仿宋" w:hAnsi="仿宋" w:eastAsia="仿宋" w:cs="仿宋"/>
                <w:sz w:val="24"/>
                <w:szCs w:val="24"/>
                <w:lang w:eastAsia="zh-CN"/>
              </w:rPr>
              <w:t>。</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结算清单评分</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本功能从总体得分、完整性得分、逻辑性得分、合理性的得分、编码问题得分等多维度，展示结算清单的扣分情况，并提供具体的扣分原因，辅助工作人员定位结算清单填写问题。</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清单编码对比</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对于修改后的结算清单，系统提供质控前后入组变化/盈亏变化/标杆变化的多种对比统计维度，同时统计质控编码人员工作量与行为。</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医院入组分析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基于分组器返回的分组结果，根据查询条件分无分组方案质控、诊断编码质控、分组参数质控、医保排除质控等不同类型统计错误病例数及占比情况。各科室、病案科、管理人员可依据此数据，分析该病例的未入组原因，明确病案/医保结算清单填写整改方向。</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病例数据查询</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可同时查询住院病案首页数据和医保结算清单明细数据，通过病案号直接下钻至病案首页或结算清单，并支持一键切换住院病案首页和医保结算清单。为辅助医院工作人员掌握病例数据质量情况，系统支持在线实时质控病例数据，将病案首页/结算清单错误项进行高亮显示，鼠标光标移动到该处，提示问题原因，帮助工作人员快速定位问题。</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医保付费预测分析</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医保支付概览</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对指定时间范围内的医保付费信息进行全院总体统计分析，支持对多种医保付费方式的切换查看，关键数据包括付费总人次、原项目支付总额、支付预测总额、预测盈亏金额、预测盈亏比、支付人数结构、费用占比等，并对该时间内的盈亏趋势、超支科室、严重超支病组进行总览展示。</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科室盈亏分析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按科室对指定时间范围内的医保付费信息进行统计分析，并按费用和效率指标赋予标签。下钻至科室内部可查看该科室覆盖的病组情况、各病组的费用结构情况，以及该科室整体费用结构、例均费用最高的项目排名、病例详情等科室数据。</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医生盈亏分析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按医生对指定时间范围内的医保付费信息进行统计分析，并按费用和效率指标赋予标签。下钻至医生内部可查看该医生覆盖的病组情况、各病组的费用结构情况，以及该医生整体费用结构、例均费用最高的项目排名、病例详情等医生数据。</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病组盈亏分析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按病组对指定时间范围内的医保付费信息进行统计分析，并按费用和效率指标赋予标签。下钻至病组内部可查看该病组费用结构、例均费用最高的项目排名、该病组超支科室情况、该病组超支医生情况以及病例详情等病组数据。</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病例盈亏分析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对指定时间范围内的医保付费病例数据进行统计分析，下钻至病例内部可查看该病例费用结构情况、该病例费用最高的项目排名等病例数据。</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医院费用分析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对全院整体费用情况进行统计分析，包含总费用、自付金额、例均费用、各科室的自付金额对比趋势情况，以及各科室的各费用项占比情况。</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预测单价管理</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对往期支付单价进行展示，并提供查询修改功能，为支付预测提供对比。</w:t>
            </w:r>
          </w:p>
        </w:tc>
      </w:tr>
      <w:tr>
        <w:tblPrEx>
          <w:tblCellMar>
            <w:top w:w="0" w:type="dxa"/>
            <w:left w:w="108" w:type="dxa"/>
            <w:bottom w:w="0" w:type="dxa"/>
            <w:right w:w="108" w:type="dxa"/>
          </w:tblCellMar>
        </w:tblPrEx>
        <w:trPr>
          <w:trHeight w:val="998"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医保反馈对比</w:t>
            </w:r>
          </w:p>
        </w:tc>
        <w:tc>
          <w:tcPr>
            <w:tcW w:w="757"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bookmarkStart w:id="0" w:name="_Hlk154568049"/>
            <w:r>
              <w:rPr>
                <w:rFonts w:hint="eastAsia" w:ascii="仿宋" w:hAnsi="仿宋" w:eastAsia="仿宋" w:cs="仿宋"/>
                <w:sz w:val="24"/>
                <w:szCs w:val="24"/>
              </w:rPr>
              <w:t>本功能支持导入当地医保局实际反馈的分组、盈亏数据并与银海预测的分组、盈亏数据进行对比。为医院后期进行分组调整、盈亏特病单议申诉提供数据支持。</w:t>
            </w:r>
            <w:bookmarkEnd w:id="0"/>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医院病种分析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可针对DIP组内的差异情况进行分析，可定位组内的费用盈亏点，通过主要诊断+主要手术的方式来进行细化分析，并了解组内不同诊断、不同手术的费用差异情况，对差异较大者可分析是否为医保局分组不合理的情况，辅助提供相关申诉依据。</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医保付费申诉</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本功能需与智能小助手医保申诉模块联动，可收集临床医生对于特殊患者的付费申诉意见，为年终清算申诉提供数据支持。</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医院综合能力评价</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DIP总体指标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本功能主要针对DIP相关的关键指标分析，从产能、效率、安全等方面分析全院的总体情况，及各个指标的走势情况，便于医院管理者能够快速掌握全院DIP整体情况。</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医院病组分析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对DIP组数、总权重、CMI等指标进行展示，并展示每个DIP病种编码及名称、权重、入组病案数、科室数、医生数、总权重等数据。</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医院综合分析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主要针对各科室设立关键指标进行统计分析，综合覆盖了病案情况与医疗能力情况两个维度。具体指标包含：科室名称、总病案数、入组病案数、入组病案数同比、入组病案数环比、病案数同比、DIP组数、DIP组数同比、DIP组数环比、总权重。该功能表格支持EXCEL格式导出。</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绩效评价分析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科室评价分析</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可基于科室查询条件对各科室的医疗综合情况进行对比，对所有选中科室在选中时间范围内的产能（DIP组数、DIP总权重、CMI指数）、效率（时间消耗指数、费用消耗指数）、安全（低风险死亡率、中低风险死亡率、中高风险死亡率、高风险死亡率）等关键指标分别以折线图、象限图的形式进行展现，以便于直观地对科室之间的DIP相关指标进行对比分析。同时，本功能提供明细表格，对各科室DIP相关关键指标明细数据进行展示，具体指标包括总病例数、综合得分、DIP指数、DIP总权重、CMI指数、例均费用、时间消耗指数、费用消耗指数、平均住院日、低风险死亡率、中低风险死亡率、药品费占比、耗材费占比、检查费占比。</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诊疗组评价分析</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从产能（DIP组数、总权重、CMI指数）、效率（时间消耗指数、费用消耗指数）、安全（低风险死亡率、中低风险死亡率、中高风险死亡率、高风险死亡率）等关键指标，通过雷达图对比不同诊疗组之间的DIP相关指标。</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医生评价分析</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可基于查询条件对各科室医生的医疗水平进行对比，对所有选中科室在选中时间范围内所选主治医生（不选医生则全部展示）DIP关键指标以折线图形式进行展现，以便于直观地对主治医生之间的DIP相关指标进行对比分析，对比的关键指标包括DIP总权重、CMI指数、时间消耗指数、费用消耗指数、低风险死亡率。同时，本功能提供明细表格，对各主治医生DIP相关关键指标明细数据进行展示，具体指标包括综合得分、DIP指数、DIP总权重、CMI指数、平均住院日、时间消耗指数、费用消耗指数、低风险死亡率、药品费占比、耗材费占比、检查费占比、诊疗费占比。该功能表格支持EXCEL格式导出。</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辅助管理分析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手术等级分析</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可基于科室查询条件对各科室的手术情况进行分析，对所有选中科室在选中时间范围内发生的总手术例数、一级手术例数、二级手术例数、三级手术例数、四级手术例数以折线图与表格的形式进行展示，并与同期例数进行对比。该功能表格支持EXCEL格式导出。</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医院安全分析</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可根据查询条件，通过环形图的形式非常直观的查看本院的风险等级占比情况，通过柱形图的形式从高到低展示各科室的低风险和中低风险人数占比情况。针对不同风险等级、不同离院方式进行展示，主要关注低风险组死亡病案、中低风险组死亡病案，以对本院的质量安全情况进行掌握。该功能表格支持EXCEL格式导出。</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重点手术分析</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对院内管理设置的重点手术进行相关分析，主要包括重点手术例数的本月与同期对比、重点手术在科室分布情况TOP10，以及各重点手术的发生例数、死亡例数、死亡率、平均住院日、同期、环比、同比、平均费用、同期、环比、同比等信息，以图表结合的形式进行全面展现。该功能表格支持EXCEL格式导出。</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重点疾病分析</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重点疾病分析根据所选起始时间范围，对国家卫健委所规定的以及医院自身管理需求确定的重点疾病发生情况进行统计分析，以柱状图、饼状图、统计表格的形式展现重点疾病在医疗机构的发生情况。该功能表格支持EXCEL格式导出。</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DIP知识库</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分析本地病种的人次、药占比、耗材比以及不同的费用定额标准情况。</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DIP分组模拟</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通过输入分组的关键字段，模拟病例分组，根据选择的不同分组器，查看病例的入组结果。</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医院运营决策管理</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运营综合指标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针对医院运营关注的一些重点指标进行时间趋势分析，如包括各科室的：入院人次、出院人次、住院总费用、DIP组数、总权重、CMI，以及以上指标的同比、环比情况。表格数据通过颜色区分变化趋势的优劣。该功能表格支持EXCEL格式导出。</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异常预警</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全院异常预警</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本功能主要对院内重点关注指标进行排名预警分析，可支持根据医院需求进行指标改动，现有指标包括：药占比、抗菌药物占比、DIP未入组病案数统计、时间消耗指数、费用消耗指数、低风险死亡人数统计。</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科室费用预警</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按科室对指定时间范围内的费用信息进行统计分析，并按费用和效率指标赋予标签。对科室病例数、医生人数、覆盖病组数、盈亏金额及盈亏比情况进行展示。下钻至科室内部可查看该科室覆盖的病组情况、各病组的费用结构情况，以及该科室整体费用结构、例均费用最高的项目排名、病例详情等科室数据。</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风险病例预警</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从费用风险、入组风险、质控风险多角度对医院可能存在问题的病例进行提示。风险指标包括但不限于总费用超标杆过多，疑似入组错误，病案首页、结算清单填写质量不高等。通过提示定位具体病例，避免错误重复发生。</w:t>
            </w:r>
          </w:p>
        </w:tc>
      </w:tr>
      <w:tr>
        <w:tblPrEx>
          <w:tblCellMar>
            <w:top w:w="0" w:type="dxa"/>
            <w:left w:w="108" w:type="dxa"/>
            <w:bottom w:w="0" w:type="dxa"/>
            <w:right w:w="108" w:type="dxa"/>
          </w:tblCellMar>
        </w:tblPrEx>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医院费用构成</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该功能以医保结算清单为标准进行相关医保费用的统计分析，其中包括对于医保费用的分布情况、医保费用变化情况以及费用靠前的科室、医生和病组，全面了解全院医保费用</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OE值监管</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本功能从科室、医师、DIP组、病例四个方面分析OE值情况，并从例均费用、平均住院日、耗材费、药品费4个方面分别展示，统计科室、医师、DIP、病例O/E值&gt;1的占比情况，支持点击指标刷新趋势图和柱形图，进一步分析各指标与同期的对比情况及走势情况。本功能支持图表两种呈现方式供灵活选择。</w:t>
            </w:r>
          </w:p>
        </w:tc>
      </w:tr>
      <w:t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数据分析报告</w:t>
            </w: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w:t>
            </w:r>
          </w:p>
        </w:tc>
        <w:tc>
          <w:tcPr>
            <w:tcW w:w="5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报告内容涵盖数据情况说明、医院总体情况、医保付费预测、医院运营决策等四个方面，从DIP指标评价、DIP付费预测、病种运营管理、学科发展等多维度分析全院的DIP情况，辅助医院管理者一键生成医院DIP数据运营分析报告，帮助医院领导者全方位了解医院整体情况。</w:t>
            </w:r>
          </w:p>
        </w:tc>
      </w:tr>
    </w:tbl>
    <w:p>
      <w:pPr>
        <w:pStyle w:val="5"/>
        <w:numPr>
          <w:ilvl w:val="1"/>
          <w:numId w:val="0"/>
        </w:numPr>
        <w:bidi w:val="0"/>
        <w:ind w:leftChars="0"/>
        <w:rPr>
          <w:rFonts w:hint="eastAsia"/>
          <w:lang w:val="en-US" w:eastAsia="zh-CN"/>
        </w:rPr>
      </w:pPr>
    </w:p>
    <w:p>
      <w:pPr>
        <w:pStyle w:val="5"/>
        <w:numPr>
          <w:ilvl w:val="1"/>
          <w:numId w:val="0"/>
        </w:numPr>
        <w:bidi w:val="0"/>
        <w:ind w:leftChars="0"/>
        <w:rPr>
          <w:rFonts w:hint="default"/>
          <w:lang w:val="en-US"/>
        </w:rPr>
      </w:pPr>
      <w:r>
        <w:rPr>
          <w:rFonts w:hint="eastAsia"/>
          <w:lang w:val="en-US" w:eastAsia="zh-CN"/>
        </w:rPr>
        <w:t>2.2系统对接要求</w:t>
      </w:r>
    </w:p>
    <w:p>
      <w:pPr>
        <w:ind w:firstLine="480"/>
        <w:rPr>
          <w:rFonts w:hint="eastAsia" w:ascii="仿宋" w:hAnsi="仿宋" w:eastAsia="仿宋" w:cs="仿宋"/>
          <w:lang w:val="en-US" w:eastAsia="zh-CN"/>
        </w:rPr>
      </w:pPr>
      <w:r>
        <w:rPr>
          <w:rFonts w:hint="eastAsia" w:ascii="仿宋" w:hAnsi="仿宋" w:eastAsia="仿宋" w:cs="仿宋"/>
          <w:lang w:val="en-US" w:eastAsia="zh-CN"/>
        </w:rPr>
        <w:t>本项目需支持与医院HIS系统、医院集成平台及其他第三方系统</w:t>
      </w:r>
      <w:bookmarkStart w:id="1" w:name="_GoBack"/>
      <w:bookmarkEnd w:id="1"/>
      <w:r>
        <w:rPr>
          <w:rFonts w:hint="eastAsia" w:ascii="仿宋" w:hAnsi="仿宋" w:eastAsia="仿宋" w:cs="仿宋"/>
          <w:lang w:val="en-US" w:eastAsia="zh-CN"/>
        </w:rPr>
        <w:t>的对接。因医院集成平台暂还在完善阶段，后期需无条件配合医院完成接口切换。系统对接主要获取患者的基础信息、处方数据、患者医嘱数据、费用信息、诊断数据等来支撑上层应用系统。</w:t>
      </w:r>
    </w:p>
    <w:p>
      <w:pPr>
        <w:pStyle w:val="5"/>
        <w:numPr>
          <w:ilvl w:val="1"/>
          <w:numId w:val="0"/>
        </w:numPr>
        <w:bidi w:val="0"/>
        <w:ind w:leftChars="0"/>
        <w:rPr>
          <w:rFonts w:hint="eastAsia" w:ascii="Times New Roman" w:hAnsi="Times New Roman"/>
          <w:lang w:val="en-US" w:eastAsia="zh-CN"/>
        </w:rPr>
      </w:pPr>
      <w:r>
        <w:rPr>
          <w:rFonts w:hint="eastAsia" w:ascii="Times New Roman" w:hAnsi="Times New Roman"/>
          <w:lang w:val="en-US" w:eastAsia="zh-CN"/>
        </w:rPr>
        <w:t>2.3其他要求</w:t>
      </w:r>
    </w:p>
    <w:p>
      <w:pPr>
        <w:pStyle w:val="2"/>
        <w:ind w:left="0" w:leftChars="0" w:firstLine="0" w:firstLineChars="0"/>
      </w:pPr>
      <w:r>
        <w:rPr>
          <w:rFonts w:hint="eastAsia" w:ascii="仿宋" w:hAnsi="仿宋" w:eastAsia="仿宋" w:cs="仿宋"/>
          <w:lang w:val="en-US" w:eastAsia="zh-CN"/>
        </w:rPr>
        <w:t xml:space="preserve">   项目要求质保期三年、源代码开放（针对医院内部业务开发）。</w:t>
      </w:r>
    </w:p>
    <w:sectPr>
      <w:pgSz w:w="11905" w:h="16837" w:orient="landscape"/>
      <w:pgMar w:top="1440" w:right="1800" w:bottom="1440" w:left="1800" w:header="850" w:footer="99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EF867"/>
    <w:multiLevelType w:val="singleLevel"/>
    <w:tmpl w:val="F76EF867"/>
    <w:lvl w:ilvl="0" w:tentative="0">
      <w:start w:val="1"/>
      <w:numFmt w:val="decimal"/>
      <w:lvlText w:val="%1."/>
      <w:lvlJc w:val="left"/>
      <w:pPr>
        <w:tabs>
          <w:tab w:val="left" w:pos="312"/>
        </w:tabs>
      </w:pPr>
    </w:lvl>
  </w:abstractNum>
  <w:abstractNum w:abstractNumId="1">
    <w:nsid w:val="3B5A277E"/>
    <w:multiLevelType w:val="multilevel"/>
    <w:tmpl w:val="3B5A277E"/>
    <w:lvl w:ilvl="0" w:tentative="0">
      <w:start w:val="1"/>
      <w:numFmt w:val="chineseCountingThousand"/>
      <w:pStyle w:val="4"/>
      <w:lvlText w:val="%1"/>
      <w:lvlJc w:val="left"/>
      <w:pPr>
        <w:ind w:left="0" w:firstLine="0"/>
      </w:pPr>
      <w:rPr>
        <w:rFonts w:hint="eastAsia"/>
      </w:rPr>
    </w:lvl>
    <w:lvl w:ilvl="1" w:tentative="0">
      <w:start w:val="1"/>
      <w:numFmt w:val="decimal"/>
      <w:pStyle w:val="5"/>
      <w:isLgl/>
      <w:lvlText w:val="%1.%2"/>
      <w:lvlJc w:val="left"/>
      <w:pPr>
        <w:ind w:left="0" w:firstLine="0"/>
      </w:pPr>
      <w:rPr>
        <w:rFonts w:hint="default" w:ascii="Times New Roman" w:hAnsi="Times New Roman" w:eastAsia="宋体"/>
      </w:rPr>
    </w:lvl>
    <w:lvl w:ilvl="2" w:tentative="0">
      <w:start w:val="1"/>
      <w:numFmt w:val="decimal"/>
      <w:pStyle w:val="6"/>
      <w:isLgl/>
      <w:lvlText w:val="%1.%2.%3"/>
      <w:lvlJc w:val="left"/>
      <w:pPr>
        <w:ind w:left="0" w:firstLine="0"/>
      </w:pPr>
      <w:rPr>
        <w:rFonts w:hint="default" w:ascii="Times New Roman" w:hAnsi="Times New Roman" w:eastAsia="宋体"/>
      </w:rPr>
    </w:lvl>
    <w:lvl w:ilvl="3" w:tentative="0">
      <w:start w:val="1"/>
      <w:numFmt w:val="decimal"/>
      <w:pStyle w:val="7"/>
      <w:isLgl/>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1YmQ5NWVhNTJiNjQxYjNiNWIzY2NhNjU1MGQ4YmQifQ=="/>
  </w:docVars>
  <w:rsids>
    <w:rsidRoot w:val="00D67FAC"/>
    <w:rsid w:val="00003119"/>
    <w:rsid w:val="00021E12"/>
    <w:rsid w:val="000565A6"/>
    <w:rsid w:val="00066DCB"/>
    <w:rsid w:val="000918D8"/>
    <w:rsid w:val="0009294F"/>
    <w:rsid w:val="000D5EFD"/>
    <w:rsid w:val="000F2D3A"/>
    <w:rsid w:val="000F67EF"/>
    <w:rsid w:val="00122E11"/>
    <w:rsid w:val="001454C2"/>
    <w:rsid w:val="00164B03"/>
    <w:rsid w:val="00192D51"/>
    <w:rsid w:val="001A1B31"/>
    <w:rsid w:val="001A2B04"/>
    <w:rsid w:val="001A2FAB"/>
    <w:rsid w:val="001A30FF"/>
    <w:rsid w:val="001A3D94"/>
    <w:rsid w:val="00201953"/>
    <w:rsid w:val="00201AC6"/>
    <w:rsid w:val="0022242C"/>
    <w:rsid w:val="002233BD"/>
    <w:rsid w:val="00245AF8"/>
    <w:rsid w:val="00264B20"/>
    <w:rsid w:val="002714DB"/>
    <w:rsid w:val="0027199D"/>
    <w:rsid w:val="00271F48"/>
    <w:rsid w:val="00280C9F"/>
    <w:rsid w:val="00285FA4"/>
    <w:rsid w:val="002B2C33"/>
    <w:rsid w:val="002C6D6C"/>
    <w:rsid w:val="002E18A3"/>
    <w:rsid w:val="002E6044"/>
    <w:rsid w:val="00350E52"/>
    <w:rsid w:val="003524F1"/>
    <w:rsid w:val="003578E6"/>
    <w:rsid w:val="00375A16"/>
    <w:rsid w:val="003930B0"/>
    <w:rsid w:val="003D53E2"/>
    <w:rsid w:val="003D6C04"/>
    <w:rsid w:val="003E032A"/>
    <w:rsid w:val="003F51B3"/>
    <w:rsid w:val="0041372B"/>
    <w:rsid w:val="00414654"/>
    <w:rsid w:val="004300D2"/>
    <w:rsid w:val="00433925"/>
    <w:rsid w:val="00440F6B"/>
    <w:rsid w:val="00443998"/>
    <w:rsid w:val="0045183B"/>
    <w:rsid w:val="00453518"/>
    <w:rsid w:val="00457597"/>
    <w:rsid w:val="004612DE"/>
    <w:rsid w:val="004C3389"/>
    <w:rsid w:val="004E50F9"/>
    <w:rsid w:val="004F5CDC"/>
    <w:rsid w:val="00521F58"/>
    <w:rsid w:val="0052608C"/>
    <w:rsid w:val="005313F2"/>
    <w:rsid w:val="0053624A"/>
    <w:rsid w:val="00573940"/>
    <w:rsid w:val="00576A94"/>
    <w:rsid w:val="00585497"/>
    <w:rsid w:val="00593D40"/>
    <w:rsid w:val="005961B3"/>
    <w:rsid w:val="005B790D"/>
    <w:rsid w:val="005C3252"/>
    <w:rsid w:val="005E5177"/>
    <w:rsid w:val="00612624"/>
    <w:rsid w:val="00613F88"/>
    <w:rsid w:val="0062252D"/>
    <w:rsid w:val="00625FDE"/>
    <w:rsid w:val="00634743"/>
    <w:rsid w:val="006426F1"/>
    <w:rsid w:val="00644919"/>
    <w:rsid w:val="00650FEE"/>
    <w:rsid w:val="00654F2C"/>
    <w:rsid w:val="00656060"/>
    <w:rsid w:val="00657569"/>
    <w:rsid w:val="00670C52"/>
    <w:rsid w:val="006744F4"/>
    <w:rsid w:val="00693430"/>
    <w:rsid w:val="006C723D"/>
    <w:rsid w:val="006D4096"/>
    <w:rsid w:val="007068DC"/>
    <w:rsid w:val="007203E7"/>
    <w:rsid w:val="00731190"/>
    <w:rsid w:val="007354E1"/>
    <w:rsid w:val="00745220"/>
    <w:rsid w:val="00747424"/>
    <w:rsid w:val="007669A5"/>
    <w:rsid w:val="00774264"/>
    <w:rsid w:val="007946EE"/>
    <w:rsid w:val="007B0268"/>
    <w:rsid w:val="007B428F"/>
    <w:rsid w:val="007C1B60"/>
    <w:rsid w:val="007E10C3"/>
    <w:rsid w:val="007F79DF"/>
    <w:rsid w:val="0080411A"/>
    <w:rsid w:val="008107BD"/>
    <w:rsid w:val="00814163"/>
    <w:rsid w:val="008203E2"/>
    <w:rsid w:val="00827D8A"/>
    <w:rsid w:val="00836E17"/>
    <w:rsid w:val="008402BD"/>
    <w:rsid w:val="0085137E"/>
    <w:rsid w:val="008647B0"/>
    <w:rsid w:val="008734FC"/>
    <w:rsid w:val="008767D1"/>
    <w:rsid w:val="008856B2"/>
    <w:rsid w:val="008A5BA3"/>
    <w:rsid w:val="008B27D9"/>
    <w:rsid w:val="008B43E7"/>
    <w:rsid w:val="008C788B"/>
    <w:rsid w:val="008D03B9"/>
    <w:rsid w:val="008E25EA"/>
    <w:rsid w:val="008F152D"/>
    <w:rsid w:val="008F7A0A"/>
    <w:rsid w:val="00913711"/>
    <w:rsid w:val="00953FF8"/>
    <w:rsid w:val="0095525E"/>
    <w:rsid w:val="00963E7D"/>
    <w:rsid w:val="00970F4F"/>
    <w:rsid w:val="0097796D"/>
    <w:rsid w:val="00992DBF"/>
    <w:rsid w:val="009965C7"/>
    <w:rsid w:val="009C6EE3"/>
    <w:rsid w:val="009D0E57"/>
    <w:rsid w:val="009E0DBB"/>
    <w:rsid w:val="009E2F13"/>
    <w:rsid w:val="009E408F"/>
    <w:rsid w:val="009F0664"/>
    <w:rsid w:val="009F469F"/>
    <w:rsid w:val="00A11C02"/>
    <w:rsid w:val="00A201CF"/>
    <w:rsid w:val="00A34F5A"/>
    <w:rsid w:val="00A4510D"/>
    <w:rsid w:val="00A526C5"/>
    <w:rsid w:val="00A817F6"/>
    <w:rsid w:val="00AA28FD"/>
    <w:rsid w:val="00AA6765"/>
    <w:rsid w:val="00AD2D97"/>
    <w:rsid w:val="00AE450C"/>
    <w:rsid w:val="00AE5D4B"/>
    <w:rsid w:val="00B155C5"/>
    <w:rsid w:val="00B16332"/>
    <w:rsid w:val="00B25375"/>
    <w:rsid w:val="00B52A9E"/>
    <w:rsid w:val="00B52C9C"/>
    <w:rsid w:val="00B827FD"/>
    <w:rsid w:val="00BA03BD"/>
    <w:rsid w:val="00BA6BD2"/>
    <w:rsid w:val="00BD7C4B"/>
    <w:rsid w:val="00BE1693"/>
    <w:rsid w:val="00BF2657"/>
    <w:rsid w:val="00C0300F"/>
    <w:rsid w:val="00C127C9"/>
    <w:rsid w:val="00C229F9"/>
    <w:rsid w:val="00C31E1F"/>
    <w:rsid w:val="00C40014"/>
    <w:rsid w:val="00C42675"/>
    <w:rsid w:val="00C46EF1"/>
    <w:rsid w:val="00C54C73"/>
    <w:rsid w:val="00C6499D"/>
    <w:rsid w:val="00C86843"/>
    <w:rsid w:val="00C93DF9"/>
    <w:rsid w:val="00C93F4C"/>
    <w:rsid w:val="00C96E71"/>
    <w:rsid w:val="00CD05A6"/>
    <w:rsid w:val="00CD3D41"/>
    <w:rsid w:val="00CE3038"/>
    <w:rsid w:val="00CF58CA"/>
    <w:rsid w:val="00D0156D"/>
    <w:rsid w:val="00D01F8D"/>
    <w:rsid w:val="00D11499"/>
    <w:rsid w:val="00D41797"/>
    <w:rsid w:val="00D45C97"/>
    <w:rsid w:val="00D526EE"/>
    <w:rsid w:val="00D52E77"/>
    <w:rsid w:val="00D5507A"/>
    <w:rsid w:val="00D559D4"/>
    <w:rsid w:val="00D60F63"/>
    <w:rsid w:val="00D62545"/>
    <w:rsid w:val="00D63276"/>
    <w:rsid w:val="00D67FAC"/>
    <w:rsid w:val="00D83EB7"/>
    <w:rsid w:val="00D925A6"/>
    <w:rsid w:val="00D96616"/>
    <w:rsid w:val="00DA1BF8"/>
    <w:rsid w:val="00DA22C3"/>
    <w:rsid w:val="00DD43F8"/>
    <w:rsid w:val="00DE1407"/>
    <w:rsid w:val="00E101D2"/>
    <w:rsid w:val="00E14234"/>
    <w:rsid w:val="00E2436C"/>
    <w:rsid w:val="00E367CF"/>
    <w:rsid w:val="00E37F8E"/>
    <w:rsid w:val="00E43D76"/>
    <w:rsid w:val="00E45AB8"/>
    <w:rsid w:val="00E46A83"/>
    <w:rsid w:val="00E64103"/>
    <w:rsid w:val="00E67891"/>
    <w:rsid w:val="00E728F4"/>
    <w:rsid w:val="00E853DF"/>
    <w:rsid w:val="00E91D0F"/>
    <w:rsid w:val="00EA5AE3"/>
    <w:rsid w:val="00EB75A6"/>
    <w:rsid w:val="00EC10D9"/>
    <w:rsid w:val="00EE229F"/>
    <w:rsid w:val="00EF0827"/>
    <w:rsid w:val="00F02A82"/>
    <w:rsid w:val="00F04A08"/>
    <w:rsid w:val="00F5068E"/>
    <w:rsid w:val="00F63A3D"/>
    <w:rsid w:val="00F91B93"/>
    <w:rsid w:val="00FA2FAD"/>
    <w:rsid w:val="00FA75B9"/>
    <w:rsid w:val="00FB44F3"/>
    <w:rsid w:val="00FE1481"/>
    <w:rsid w:val="00FE7E87"/>
    <w:rsid w:val="01050944"/>
    <w:rsid w:val="0AFE53BA"/>
    <w:rsid w:val="0EF56F8E"/>
    <w:rsid w:val="12A11939"/>
    <w:rsid w:val="20700ABB"/>
    <w:rsid w:val="271709AC"/>
    <w:rsid w:val="28BF71F2"/>
    <w:rsid w:val="2CF75313"/>
    <w:rsid w:val="347C6618"/>
    <w:rsid w:val="37310572"/>
    <w:rsid w:val="4B851AD0"/>
    <w:rsid w:val="4DDB31F5"/>
    <w:rsid w:val="5AAE2166"/>
    <w:rsid w:val="5EB94B34"/>
    <w:rsid w:val="618D2CE4"/>
    <w:rsid w:val="632F43F6"/>
    <w:rsid w:val="691E2B32"/>
    <w:rsid w:val="7AE00CFB"/>
    <w:rsid w:val="7C0F7CC8"/>
    <w:rsid w:val="7CE00428"/>
    <w:rsid w:val="7F1F7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pPr>
    <w:rPr>
      <w:rFonts w:ascii="Times New Roman" w:hAnsi="Times New Roman" w:eastAsia="宋体" w:cstheme="minorBidi"/>
      <w:kern w:val="2"/>
      <w:sz w:val="24"/>
      <w:lang w:val="en-US" w:eastAsia="zh-CN" w:bidi="ar-SA"/>
    </w:rPr>
  </w:style>
  <w:style w:type="paragraph" w:styleId="4">
    <w:name w:val="heading 1"/>
    <w:basedOn w:val="1"/>
    <w:next w:val="1"/>
    <w:link w:val="31"/>
    <w:autoRedefine/>
    <w:qFormat/>
    <w:uiPriority w:val="9"/>
    <w:pPr>
      <w:keepNext/>
      <w:keepLines/>
      <w:numPr>
        <w:ilvl w:val="0"/>
        <w:numId w:val="1"/>
      </w:numPr>
      <w:spacing w:before="340" w:after="340"/>
      <w:ind w:firstLineChars="0"/>
      <w:outlineLvl w:val="0"/>
    </w:pPr>
    <w:rPr>
      <w:b/>
      <w:bCs/>
      <w:kern w:val="44"/>
      <w:sz w:val="30"/>
      <w:szCs w:val="44"/>
    </w:rPr>
  </w:style>
  <w:style w:type="paragraph" w:styleId="5">
    <w:name w:val="heading 2"/>
    <w:basedOn w:val="1"/>
    <w:next w:val="1"/>
    <w:autoRedefine/>
    <w:unhideWhenUsed/>
    <w:qFormat/>
    <w:uiPriority w:val="9"/>
    <w:pPr>
      <w:keepNext/>
      <w:keepLines/>
      <w:numPr>
        <w:ilvl w:val="1"/>
        <w:numId w:val="1"/>
      </w:numPr>
      <w:spacing w:before="260" w:after="260"/>
      <w:ind w:firstLineChars="0"/>
      <w:outlineLvl w:val="1"/>
    </w:pPr>
    <w:rPr>
      <w:rFonts w:cstheme="majorBidi"/>
      <w:b/>
      <w:sz w:val="30"/>
    </w:rPr>
  </w:style>
  <w:style w:type="paragraph" w:styleId="6">
    <w:name w:val="heading 3"/>
    <w:basedOn w:val="1"/>
    <w:next w:val="1"/>
    <w:autoRedefine/>
    <w:unhideWhenUsed/>
    <w:qFormat/>
    <w:uiPriority w:val="9"/>
    <w:pPr>
      <w:keepNext/>
      <w:keepLines/>
      <w:numPr>
        <w:ilvl w:val="2"/>
        <w:numId w:val="1"/>
      </w:numPr>
      <w:spacing w:before="260" w:after="260"/>
      <w:ind w:firstLineChars="0"/>
      <w:outlineLvl w:val="2"/>
    </w:pPr>
    <w:rPr>
      <w:b/>
      <w:sz w:val="30"/>
    </w:rPr>
  </w:style>
  <w:style w:type="paragraph" w:styleId="7">
    <w:name w:val="heading 4"/>
    <w:basedOn w:val="1"/>
    <w:next w:val="1"/>
    <w:autoRedefine/>
    <w:unhideWhenUsed/>
    <w:qFormat/>
    <w:uiPriority w:val="9"/>
    <w:pPr>
      <w:keepNext/>
      <w:keepLines/>
      <w:numPr>
        <w:ilvl w:val="3"/>
        <w:numId w:val="1"/>
      </w:numPr>
      <w:spacing w:before="260" w:after="260"/>
      <w:ind w:firstLineChars="0"/>
      <w:outlineLvl w:val="3"/>
    </w:pPr>
    <w:rPr>
      <w:rFonts w:cstheme="majorBidi"/>
      <w:b/>
      <w:sz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autoRedefine/>
    <w:qFormat/>
    <w:uiPriority w:val="0"/>
    <w:pPr>
      <w:ind w:left="637"/>
    </w:pPr>
    <w:rPr>
      <w:rFonts w:ascii="宋体" w:hAnsi="宋体" w:cs="宋体"/>
      <w:kern w:val="0"/>
    </w:rPr>
  </w:style>
  <w:style w:type="paragraph" w:styleId="8">
    <w:name w:val="Normal Indent"/>
    <w:basedOn w:val="1"/>
    <w:autoRedefine/>
    <w:qFormat/>
    <w:uiPriority w:val="0"/>
    <w:pPr>
      <w:ind w:firstLine="420"/>
    </w:pPr>
  </w:style>
  <w:style w:type="paragraph" w:styleId="9">
    <w:name w:val="annotation text"/>
    <w:basedOn w:val="1"/>
    <w:autoRedefine/>
    <w:qFormat/>
    <w:uiPriority w:val="0"/>
    <w:rPr>
      <w:rFonts w:ascii="Calibri" w:hAnsi="Calibri" w:cs="Calibri"/>
    </w:rPr>
  </w:style>
  <w:style w:type="paragraph" w:styleId="10">
    <w:name w:val="footer"/>
    <w:basedOn w:val="1"/>
    <w:autoRedefine/>
    <w:qFormat/>
    <w:uiPriority w:val="0"/>
    <w:rPr>
      <w:sz w:val="18"/>
    </w:rPr>
  </w:style>
  <w:style w:type="paragraph" w:styleId="11">
    <w:name w:val="header"/>
    <w:basedOn w:val="1"/>
    <w:autoRedefine/>
    <w:qFormat/>
    <w:uiPriority w:val="0"/>
    <w:pPr>
      <w:pBdr>
        <w:bottom w:val="single" w:color="000000" w:sz="6" w:space="1"/>
      </w:pBdr>
      <w:jc w:val="center"/>
    </w:pPr>
    <w:rPr>
      <w:sz w:val="18"/>
    </w:rPr>
  </w:style>
  <w:style w:type="table" w:styleId="13">
    <w:name w:val="Table Grid"/>
    <w:basedOn w:val="12"/>
    <w:autoRedefine/>
    <w:qFormat/>
    <w:uiPriority w:val="0"/>
    <w:pPr>
      <w:widowControl w:val="0"/>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basedOn w:val="14"/>
    <w:autoRedefine/>
    <w:qFormat/>
    <w:uiPriority w:val="0"/>
    <w:rPr>
      <w:b/>
    </w:rPr>
  </w:style>
  <w:style w:type="character" w:styleId="16">
    <w:name w:val="annotation reference"/>
    <w:autoRedefine/>
    <w:qFormat/>
    <w:uiPriority w:val="0"/>
    <w:rPr>
      <w:sz w:val="21"/>
    </w:rPr>
  </w:style>
  <w:style w:type="character" w:customStyle="1" w:styleId="17">
    <w:name w:val="标题 3 字符"/>
    <w:basedOn w:val="14"/>
    <w:autoRedefine/>
    <w:qFormat/>
    <w:uiPriority w:val="0"/>
    <w:rPr>
      <w:b/>
      <w:kern w:val="2"/>
      <w:sz w:val="32"/>
    </w:rPr>
  </w:style>
  <w:style w:type="character" w:customStyle="1" w:styleId="18">
    <w:name w:val="标题 4 字符"/>
    <w:basedOn w:val="14"/>
    <w:autoRedefine/>
    <w:qFormat/>
    <w:uiPriority w:val="0"/>
    <w:rPr>
      <w:rFonts w:asciiTheme="majorHAnsi" w:hAnsiTheme="majorHAnsi" w:eastAsiaTheme="majorEastAsia" w:cstheme="majorBidi"/>
      <w:b/>
      <w:kern w:val="2"/>
      <w:sz w:val="28"/>
    </w:rPr>
  </w:style>
  <w:style w:type="character" w:customStyle="1" w:styleId="19">
    <w:name w:val="正文文本 字符"/>
    <w:basedOn w:val="14"/>
    <w:autoRedefine/>
    <w:qFormat/>
    <w:uiPriority w:val="0"/>
    <w:rPr>
      <w:rFonts w:ascii="宋体" w:hAnsi="宋体" w:eastAsia="宋体" w:cs="宋体"/>
      <w:sz w:val="21"/>
    </w:rPr>
  </w:style>
  <w:style w:type="paragraph" w:customStyle="1" w:styleId="20">
    <w:name w:val="正文缩进_0"/>
    <w:basedOn w:val="21"/>
    <w:autoRedefine/>
    <w:qFormat/>
    <w:uiPriority w:val="0"/>
    <w:pPr>
      <w:ind w:firstLine="420"/>
    </w:pPr>
    <w:rPr>
      <w:rFonts w:ascii="Times New Roman" w:hAnsi="Times New Roman"/>
      <w:kern w:val="0"/>
    </w:rPr>
  </w:style>
  <w:style w:type="paragraph" w:customStyle="1" w:styleId="21">
    <w:name w:val="正文_1"/>
    <w:autoRedefine/>
    <w:qFormat/>
    <w:uiPriority w:val="0"/>
    <w:pPr>
      <w:widowControl w:val="0"/>
    </w:pPr>
    <w:rPr>
      <w:rFonts w:ascii="Calibri" w:hAnsi="Calibri" w:eastAsiaTheme="minorEastAsia" w:cstheme="minorBidi"/>
      <w:kern w:val="2"/>
      <w:sz w:val="21"/>
      <w:lang w:val="en-US" w:eastAsia="zh-CN" w:bidi="ar-SA"/>
    </w:rPr>
  </w:style>
  <w:style w:type="character" w:customStyle="1" w:styleId="22">
    <w:name w:val="批注文字 字符1"/>
    <w:autoRedefine/>
    <w:qFormat/>
    <w:uiPriority w:val="0"/>
    <w:rPr>
      <w:rFonts w:ascii="Calibri" w:hAnsi="Calibri" w:eastAsia="宋体" w:cs="Calibri"/>
      <w:kern w:val="2"/>
      <w:sz w:val="21"/>
    </w:rPr>
  </w:style>
  <w:style w:type="paragraph" w:customStyle="1" w:styleId="23">
    <w:name w:val="列出段落1"/>
    <w:basedOn w:val="1"/>
    <w:autoRedefine/>
    <w:qFormat/>
    <w:uiPriority w:val="0"/>
    <w:pPr>
      <w:ind w:firstLine="420"/>
    </w:pPr>
    <w:rPr>
      <w:rFonts w:cs="Times New Roman"/>
    </w:rPr>
  </w:style>
  <w:style w:type="character" w:customStyle="1" w:styleId="24">
    <w:name w:val="正文缩进 Char_0"/>
    <w:autoRedefine/>
    <w:qFormat/>
    <w:uiPriority w:val="0"/>
    <w:rPr>
      <w:rFonts w:ascii="Times New Roman" w:hAnsi="Times New Roman" w:eastAsia="宋体" w:cs="Times New Roman"/>
      <w:sz w:val="21"/>
    </w:rPr>
  </w:style>
  <w:style w:type="character" w:customStyle="1" w:styleId="25">
    <w:name w:val="页脚 字符"/>
    <w:basedOn w:val="14"/>
    <w:autoRedefine/>
    <w:qFormat/>
    <w:uiPriority w:val="0"/>
    <w:rPr>
      <w:kern w:val="2"/>
      <w:sz w:val="18"/>
    </w:rPr>
  </w:style>
  <w:style w:type="character" w:customStyle="1" w:styleId="26">
    <w:name w:val="页眉 字符"/>
    <w:basedOn w:val="14"/>
    <w:autoRedefine/>
    <w:qFormat/>
    <w:uiPriority w:val="0"/>
    <w:rPr>
      <w:kern w:val="2"/>
      <w:sz w:val="18"/>
    </w:rPr>
  </w:style>
  <w:style w:type="paragraph" w:styleId="27">
    <w:name w:val="List Paragraph"/>
    <w:basedOn w:val="1"/>
    <w:autoRedefine/>
    <w:qFormat/>
    <w:uiPriority w:val="34"/>
    <w:pPr>
      <w:ind w:firstLine="420"/>
    </w:pPr>
  </w:style>
  <w:style w:type="character" w:customStyle="1" w:styleId="28">
    <w:name w:val="列表段落 字符"/>
    <w:autoRedefine/>
    <w:qFormat/>
    <w:uiPriority w:val="0"/>
    <w:rPr>
      <w:kern w:val="2"/>
      <w:sz w:val="21"/>
    </w:rPr>
  </w:style>
  <w:style w:type="character" w:customStyle="1" w:styleId="29">
    <w:name w:val="批注文字 字符"/>
    <w:basedOn w:val="14"/>
    <w:autoRedefine/>
    <w:qFormat/>
    <w:uiPriority w:val="0"/>
    <w:rPr>
      <w:kern w:val="2"/>
      <w:sz w:val="21"/>
    </w:rPr>
  </w:style>
  <w:style w:type="paragraph" w:customStyle="1" w:styleId="30">
    <w:name w:val="监测指标、参考指标"/>
    <w:basedOn w:val="1"/>
    <w:autoRedefine/>
    <w:qFormat/>
    <w:uiPriority w:val="0"/>
    <w:pPr>
      <w:outlineLvl w:val="1"/>
    </w:pPr>
    <w:rPr>
      <w:rFonts w:eastAsia="仿宋_GB2312"/>
      <w:b/>
      <w:sz w:val="28"/>
      <w:szCs w:val="28"/>
    </w:rPr>
  </w:style>
  <w:style w:type="character" w:customStyle="1" w:styleId="31">
    <w:name w:val="标题 1 字符"/>
    <w:basedOn w:val="14"/>
    <w:link w:val="4"/>
    <w:autoRedefine/>
    <w:qFormat/>
    <w:uiPriority w:val="9"/>
    <w:rPr>
      <w:rFonts w:cstheme="minorBidi"/>
      <w:b/>
      <w:bCs/>
      <w:kern w:val="44"/>
      <w:sz w:val="30"/>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750</Words>
  <Characters>4279</Characters>
  <Lines>35</Lines>
  <Paragraphs>10</Paragraphs>
  <TotalTime>109</TotalTime>
  <ScaleCrop>false</ScaleCrop>
  <LinksUpToDate>false</LinksUpToDate>
  <CharactersWithSpaces>5019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2024-03-20T09:31:00Z</dcterms:created>
  <dc:creator>DingTalk</dc:creator>
  <dc:description>DingTalk Document</dc:description>
  <cp:lastModifiedBy>James</cp:lastModifiedBy>
  <dcterms:modified xsi:type="dcterms:W3CDTF">2024-03-29T07:48:37Z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0B75B2D4A7864FE6AFE867B341B9C42A_13</vt:lpwstr>
  </property>
</Properties>
</file>