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after="156" w:afterLines="50" w:line="480" w:lineRule="auto"/>
        <w:ind w:firstLine="883"/>
        <w:jc w:val="both"/>
        <w:rPr>
          <w:rFonts w:ascii="黑体" w:hAnsi="黑体" w:eastAsia="黑体" w:cs="黑体"/>
          <w:b/>
          <w:bCs/>
          <w:kern w:val="0"/>
          <w:sz w:val="44"/>
          <w:szCs w:val="44"/>
        </w:rPr>
      </w:pPr>
      <w:r>
        <w:rPr>
          <w:rFonts w:hint="eastAsia" w:ascii="黑体" w:hAnsi="黑体" w:eastAsia="黑体" w:cs="黑体"/>
          <w:b/>
          <w:bCs/>
          <w:kern w:val="0"/>
          <w:sz w:val="44"/>
          <w:szCs w:val="44"/>
        </w:rPr>
        <w:t>南方科技大学信息化项目用户需求书</w:t>
      </w:r>
    </w:p>
    <w:p>
      <w:pPr>
        <w:pStyle w:val="2"/>
        <w:ind w:firstLine="240"/>
      </w:pPr>
    </w:p>
    <w:p>
      <w:pPr>
        <w:pStyle w:val="4"/>
        <w:numPr>
          <w:ilvl w:val="0"/>
          <w:numId w:val="0"/>
        </w:numPr>
        <w:ind w:leftChars="0"/>
      </w:pPr>
      <w:r>
        <w:rPr>
          <w:rFonts w:hint="eastAsia"/>
          <w:lang w:val="en-US" w:eastAsia="zh-CN"/>
        </w:rPr>
        <w:t>一、</w:t>
      </w:r>
      <w:r>
        <w:rPr>
          <w:rFonts w:hint="eastAsia"/>
        </w:rPr>
        <w:t>项目背景</w:t>
      </w:r>
    </w:p>
    <w:p>
      <w:pPr>
        <w:pStyle w:val="2"/>
        <w:spacing w:after="0"/>
        <w:ind w:left="0" w:leftChars="0" w:firstLine="480" w:firstLineChars="200"/>
        <w:jc w:val="both"/>
        <w:rPr>
          <w:rFonts w:hint="eastAsia" w:ascii="仿宋" w:hAnsi="仿宋" w:eastAsia="仿宋" w:cs="仿宋"/>
          <w:lang w:val="en-US" w:eastAsia="zh-CN"/>
        </w:rPr>
      </w:pPr>
      <w:r>
        <w:rPr>
          <w:rFonts w:hint="eastAsia" w:ascii="仿宋" w:hAnsi="仿宋" w:eastAsia="仿宋" w:cs="仿宋"/>
          <w:lang w:val="en-US" w:eastAsia="zh-CN"/>
        </w:rPr>
        <w:t>2023年5月26日国务院办公厅发布《国务院办公厅关于加强医疗保障基金使用常态化监管的实施意见》（国办发〔2023〕17号），要求各级部门要加强医保基金使用常态化监管，加强对医保基金使用行为的实时动态跟踪，实现事前提醒、事中审核、事后监管全过程智能监控，提升精准化、智能化水平。</w:t>
      </w:r>
    </w:p>
    <w:p>
      <w:pPr>
        <w:pStyle w:val="2"/>
        <w:spacing w:after="0"/>
        <w:ind w:left="0" w:leftChars="0" w:firstLine="480" w:firstLineChars="200"/>
        <w:jc w:val="both"/>
        <w:rPr>
          <w:rFonts w:hint="eastAsia" w:ascii="仿宋" w:hAnsi="仿宋" w:eastAsia="仿宋" w:cs="仿宋"/>
          <w:lang w:val="en-US" w:eastAsia="zh-CN"/>
        </w:rPr>
      </w:pPr>
      <w:r>
        <w:rPr>
          <w:rFonts w:hint="eastAsia" w:ascii="仿宋" w:hAnsi="仿宋" w:eastAsia="仿宋" w:cs="仿宋"/>
          <w:lang w:val="en-US" w:eastAsia="zh-CN"/>
        </w:rPr>
        <w:t>目前医院主要依靠传统的人工审核方式审核和监控医疗费用情况，不仅工作效率低下，且难以应对庞大的数据量和复杂的医疗服务行为，无法及时发现医保基金使用不当的情况，如超范围用药、重复收费、分解项目收费等问题，增加医保基金的不必要支出和浪费。另外，没有信息化系统的支持，医院难以对医疗服务行为进行有效监控和管理，可能导致医疗服务不规范，影响医疗服务质量和患者满意度。</w:t>
      </w:r>
    </w:p>
    <w:p>
      <w:pPr>
        <w:pStyle w:val="2"/>
        <w:spacing w:after="0"/>
        <w:ind w:left="0" w:leftChars="0" w:firstLine="480" w:firstLineChars="200"/>
        <w:jc w:val="both"/>
        <w:rPr>
          <w:rFonts w:hint="eastAsia" w:ascii="仿宋" w:hAnsi="仿宋" w:eastAsia="仿宋" w:cs="仿宋"/>
          <w:lang w:val="en-US" w:eastAsia="zh-CN"/>
        </w:rPr>
      </w:pPr>
      <w:r>
        <w:rPr>
          <w:rFonts w:hint="eastAsia" w:ascii="仿宋" w:hAnsi="仿宋" w:eastAsia="仿宋" w:cs="仿宋"/>
          <w:lang w:val="en-US" w:eastAsia="zh-CN"/>
        </w:rPr>
        <w:t>现拟申请采购一套医保费用智能监管系统，以帮助医院加快医保基金智能监控知识库、规则库建设和应用，加强动态维护升级。提高医院管理决策的科学性，完善医院医保管理和宏观调控机制，最终形成医院医保管理“防治结合”的全新格局，实现医院医保费用管理效果最大化。</w:t>
      </w:r>
    </w:p>
    <w:p>
      <w:pPr>
        <w:pStyle w:val="2"/>
        <w:spacing w:after="0"/>
        <w:ind w:left="0" w:leftChars="0" w:firstLine="480" w:firstLineChars="200"/>
        <w:jc w:val="both"/>
        <w:rPr>
          <w:rFonts w:hint="eastAsia" w:ascii="仿宋" w:hAnsi="仿宋" w:eastAsia="仿宋" w:cs="仿宋"/>
          <w:lang w:val="en-US" w:eastAsia="zh-CN"/>
        </w:rPr>
      </w:pPr>
    </w:p>
    <w:p>
      <w:pPr>
        <w:pStyle w:val="4"/>
        <w:numPr>
          <w:ilvl w:val="0"/>
          <w:numId w:val="0"/>
        </w:numPr>
        <w:ind w:leftChars="0"/>
        <w:rPr>
          <w:rFonts w:hint="eastAsia" w:eastAsia="宋体"/>
          <w:lang w:eastAsia="zh-CN"/>
        </w:rPr>
      </w:pPr>
      <w:r>
        <w:rPr>
          <w:rFonts w:hint="eastAsia"/>
          <w:lang w:val="en-US" w:eastAsia="zh-CN"/>
        </w:rPr>
        <w:t>二、</w:t>
      </w:r>
      <w:r>
        <w:rPr>
          <w:rFonts w:hint="eastAsia"/>
        </w:rPr>
        <w:t>项目</w:t>
      </w:r>
      <w:r>
        <w:rPr>
          <w:rFonts w:hint="eastAsia"/>
          <w:lang w:val="en-US" w:eastAsia="zh-CN"/>
        </w:rPr>
        <w:t>内容</w:t>
      </w:r>
    </w:p>
    <w:p>
      <w:pPr>
        <w:pStyle w:val="5"/>
        <w:numPr>
          <w:ilvl w:val="1"/>
          <w:numId w:val="0"/>
        </w:numPr>
        <w:bidi w:val="0"/>
        <w:ind w:leftChars="0"/>
        <w:rPr>
          <w:rFonts w:hint="eastAsia" w:ascii="Times New Roman" w:hAnsi="Times New Roman"/>
          <w:lang w:val="en-US" w:eastAsia="zh-CN"/>
        </w:rPr>
      </w:pPr>
      <w:r>
        <w:rPr>
          <w:rFonts w:hint="eastAsia" w:ascii="Times New Roman" w:hAnsi="Times New Roman"/>
          <w:lang w:val="en-US" w:eastAsia="zh-CN"/>
        </w:rPr>
        <w:t>2.1建设内容</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本项目通过建设包括医院医保费用智能监管、智能费用审核、智能医保助手、智能申诉管理、智能辅助决策、智能诊疗监测功能模块，为医院领导和各科室工作人员提供全方位、多角度的医保精细化管理服务，提高审核监管成效。</w:t>
      </w:r>
    </w:p>
    <w:p>
      <w:pPr>
        <w:ind w:firstLine="480"/>
        <w:rPr>
          <w:rFonts w:hint="eastAsia" w:ascii="仿宋" w:hAnsi="仿宋" w:eastAsia="仿宋" w:cs="仿宋"/>
          <w:lang w:val="en-US" w:eastAsia="zh-CN"/>
        </w:rPr>
      </w:pPr>
      <w:r>
        <w:rPr>
          <w:rFonts w:hint="eastAsia" w:ascii="仿宋" w:hAnsi="仿宋" w:eastAsia="仿宋" w:cs="仿宋"/>
          <w:lang w:val="en-US" w:eastAsia="zh-CN"/>
        </w:rPr>
        <w:t>本项目的详细建设清单如下：</w:t>
      </w:r>
    </w:p>
    <w:tbl>
      <w:tblPr>
        <w:tblStyle w:val="12"/>
        <w:tblW w:w="8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7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blHeader/>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序号</w:t>
            </w:r>
          </w:p>
        </w:tc>
        <w:tc>
          <w:tcPr>
            <w:tcW w:w="72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技术</w:t>
            </w:r>
            <w:r>
              <w:rPr>
                <w:rFonts w:hint="eastAsia" w:ascii="仿宋" w:hAnsi="仿宋" w:eastAsia="仿宋" w:cs="仿宋"/>
                <w:b/>
                <w:bCs/>
                <w:color w:val="000000" w:themeColor="text1"/>
                <w:sz w:val="24"/>
                <w:szCs w:val="24"/>
                <w:lang w:val="en-US" w:eastAsia="zh-CN"/>
                <w14:textFill>
                  <w14:solidFill>
                    <w14:schemeClr w14:val="tx1"/>
                  </w14:solidFill>
                </w14:textFill>
              </w:rPr>
              <w:t>功能</w:t>
            </w:r>
            <w:r>
              <w:rPr>
                <w:rFonts w:hint="eastAsia" w:ascii="仿宋" w:hAnsi="仿宋" w:eastAsia="仿宋" w:cs="仿宋"/>
                <w:b/>
                <w:bCs/>
                <w:color w:val="000000" w:themeColor="text1"/>
                <w:sz w:val="24"/>
                <w:szCs w:val="24"/>
                <w14:textFill>
                  <w14:solidFill>
                    <w14:schemeClr w14:val="tx1"/>
                  </w14:solidFill>
                </w14:textFill>
              </w:rPr>
              <w:t>参数指标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c>
          <w:tcPr>
            <w:tcW w:w="72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医院医保费用智能监管系统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w:t>
            </w:r>
          </w:p>
        </w:tc>
        <w:tc>
          <w:tcPr>
            <w:tcW w:w="72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lang w:eastAsia="zh-CN"/>
              </w:rPr>
            </w:pPr>
            <w:r>
              <w:rPr>
                <w:rFonts w:hint="eastAsia" w:ascii="仿宋" w:hAnsi="仿宋" w:eastAsia="仿宋" w:cs="仿宋"/>
                <w:b/>
                <w:bCs/>
                <w:color w:val="000000" w:themeColor="text1"/>
                <w:sz w:val="24"/>
                <w:szCs w:val="24"/>
                <w14:textFill>
                  <w14:solidFill>
                    <w14:schemeClr w14:val="tx1"/>
                  </w14:solidFill>
                </w14:textFill>
              </w:rPr>
              <w:t>知识库系统</w:t>
            </w:r>
            <w:r>
              <w:rPr>
                <w:rFonts w:hint="eastAsia" w:ascii="仿宋" w:hAnsi="仿宋" w:eastAsia="仿宋" w:cs="仿宋"/>
                <w:color w:val="000000" w:themeColor="text1"/>
                <w:sz w:val="24"/>
                <w:szCs w:val="24"/>
                <w14:textFill>
                  <w14:solidFill>
                    <w14:schemeClr w14:val="tx1"/>
                  </w14:solidFill>
                </w14:textFill>
              </w:rPr>
              <w:t>：系统通过收纳全面的知识内容，系统具备医疗合规、临床合理、医保报销三大核心知识库。通过知识库、规则管理功能，实现全方位的审核场景，在诊疗过程中对标准、规范的数据进行规则审核，在全院数据中精准地发现违规和可疑的单据，从而达到理想的监管效果。</w:t>
            </w:r>
            <w:r>
              <w:rPr>
                <w:rFonts w:hint="eastAsia" w:ascii="仿宋" w:hAnsi="仿宋" w:eastAsia="仿宋" w:cs="仿宋"/>
                <w:sz w:val="24"/>
                <w:szCs w:val="24"/>
              </w:rPr>
              <w:t>临床合理规则库，与医院临床实际操作相结合，定时更新临床合理规则库</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1.1.1</w:t>
            </w:r>
          </w:p>
        </w:tc>
        <w:tc>
          <w:tcPr>
            <w:tcW w:w="72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snapToGrid w:val="0"/>
                <w:color w:val="000000" w:themeColor="text1"/>
                <w:kern w:val="0"/>
                <w:sz w:val="24"/>
                <w:szCs w:val="24"/>
                <w14:textFill>
                  <w14:solidFill>
                    <w14:schemeClr w14:val="tx1"/>
                  </w14:solidFill>
                </w14:textFill>
              </w:rPr>
              <w:t>规则查询：提供规则查询模块，查询规则内涵、规则条目、规则类别、规则适用场景等。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1.1.2</w:t>
            </w:r>
          </w:p>
        </w:tc>
        <w:tc>
          <w:tcPr>
            <w:tcW w:w="72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snapToGrid w:val="0"/>
                <w:color w:val="000000" w:themeColor="text1"/>
                <w:kern w:val="0"/>
                <w:sz w:val="24"/>
                <w:szCs w:val="24"/>
                <w14:textFill>
                  <w14:solidFill>
                    <w14:schemeClr w14:val="tx1"/>
                  </w14:solidFill>
                </w14:textFill>
              </w:rPr>
              <w:t>规则启停控制：提供规则实时启停控制，支持从项目或规则类别两个维度进行启停，支持批量操作。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1.1.3</w:t>
            </w:r>
          </w:p>
        </w:tc>
        <w:tc>
          <w:tcPr>
            <w:tcW w:w="7206" w:type="dxa"/>
            <w:vAlign w:val="center"/>
          </w:tcPr>
          <w:p>
            <w:pPr>
              <w:pStyle w:val="32"/>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snapToGrid w:val="0"/>
                <w:color w:val="000000" w:themeColor="text1"/>
                <w:kern w:val="0"/>
                <w:sz w:val="24"/>
                <w:szCs w:val="24"/>
                <w14:textFill>
                  <w14:solidFill>
                    <w14:schemeClr w14:val="tx1"/>
                  </w14:solidFill>
                </w14:textFill>
              </w:rPr>
              <w:t>引导操作配置：</w:t>
            </w:r>
            <w:r>
              <w:rPr>
                <w:rFonts w:hint="eastAsia" w:ascii="仿宋" w:hAnsi="仿宋" w:eastAsia="仿宋" w:cs="仿宋"/>
                <w:color w:val="000000" w:themeColor="text1"/>
                <w:sz w:val="24"/>
                <w:szCs w:val="24"/>
                <w14:textFill>
                  <w14:solidFill>
                    <w14:schemeClr w14:val="tx1"/>
                  </w14:solidFill>
                </w14:textFill>
              </w:rPr>
              <w:t>支持配置审核提醒时对医生提供的提醒内容及备选操作，支持从不同维度进行配置，如配置单个项目或配置单个规则大类；支持按不同审核业务做不同配置；支持批量配置。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w:t>
            </w:r>
          </w:p>
        </w:tc>
        <w:tc>
          <w:tcPr>
            <w:tcW w:w="72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智能费用审核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987" w:type="dxa"/>
            <w:vAlign w:val="center"/>
          </w:tcPr>
          <w:p>
            <w:pPr>
              <w:keepNext w:val="0"/>
              <w:keepLines w:val="0"/>
              <w:pageBreakBefore w:val="0"/>
              <w:widowControl w:val="0"/>
              <w:tabs>
                <w:tab w:val="left" w:pos="589"/>
              </w:tabs>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1.2.1</w:t>
            </w:r>
          </w:p>
        </w:tc>
        <w:tc>
          <w:tcPr>
            <w:tcW w:w="72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门诊处方实时审核：支持在医师开具普通门诊处方时，HIS系统自动调用审核服务，筛查出处方明细中存在的违规疑点并实时提醒医师，医师可根据引导提示做相应的操作。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1.2.2</w:t>
            </w:r>
          </w:p>
        </w:tc>
        <w:tc>
          <w:tcPr>
            <w:tcW w:w="72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门特审核：支持在医师开具门特方案、门特处方时，HIS系统自动调用审核服务，筛查出方案/处方明细中存在的违规疑点并实时提醒医师，医师可根据引导提示做相应的操作。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1.2.3</w:t>
            </w:r>
          </w:p>
        </w:tc>
        <w:tc>
          <w:tcPr>
            <w:tcW w:w="72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snapToGrid w:val="0"/>
                <w:color w:val="000000" w:themeColor="text1"/>
                <w:kern w:val="0"/>
                <w:sz w:val="24"/>
                <w:szCs w:val="24"/>
                <w14:textFill>
                  <w14:solidFill>
                    <w14:schemeClr w14:val="tx1"/>
                  </w14:solidFill>
                </w14:textFill>
              </w:rPr>
              <w:t>住院计费、手麻系统实时审核：在住院计费时，筛查出本次计费项目中存在的违规疑点并实时提醒医务人员，医务人员可根据引导提示做相应的操作</w:t>
            </w:r>
            <w:r>
              <w:rPr>
                <w:rFonts w:hint="eastAsia" w:ascii="仿宋" w:hAnsi="仿宋" w:eastAsia="仿宋" w:cs="仿宋"/>
                <w:snapToGrid w:val="0"/>
                <w:color w:val="000000" w:themeColor="text1"/>
                <w:kern w:val="0"/>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1.2.4</w:t>
            </w:r>
          </w:p>
        </w:tc>
        <w:tc>
          <w:tcPr>
            <w:tcW w:w="72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snapToGrid w:val="0"/>
                <w:color w:val="000000" w:themeColor="text1"/>
                <w:kern w:val="0"/>
                <w:sz w:val="24"/>
                <w:szCs w:val="24"/>
                <w14:textFill>
                  <w14:solidFill>
                    <w14:schemeClr w14:val="tx1"/>
                  </w14:solidFill>
                </w14:textFill>
              </w:rPr>
              <w:t>住院每晚预审：支持每晚定时获取在院患者的费用信息和诊疗信息，对在院患者的全部费用明细进行审核，系统将审核结果推送给医护人员，同时支持管理人员在系统中进行查看，支持管理人员选择问题数据给医师推送</w:t>
            </w:r>
            <w:r>
              <w:rPr>
                <w:rFonts w:hint="eastAsia" w:ascii="仿宋" w:hAnsi="仿宋" w:eastAsia="仿宋" w:cs="仿宋"/>
                <w:snapToGrid w:val="0"/>
                <w:color w:val="000000" w:themeColor="text1"/>
                <w:kern w:val="0"/>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1.2.5</w:t>
            </w:r>
          </w:p>
        </w:tc>
        <w:tc>
          <w:tcPr>
            <w:tcW w:w="72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napToGrid w:val="0"/>
                <w:color w:val="000000" w:themeColor="text1"/>
                <w:kern w:val="0"/>
                <w:sz w:val="24"/>
                <w:szCs w:val="24"/>
                <w:lang w:eastAsia="zh-CN"/>
                <w14:textFill>
                  <w14:solidFill>
                    <w14:schemeClr w14:val="tx1"/>
                  </w14:solidFill>
                </w14:textFill>
              </w:rPr>
            </w:pPr>
            <w:r>
              <w:rPr>
                <w:rFonts w:hint="eastAsia" w:ascii="仿宋" w:hAnsi="仿宋" w:eastAsia="仿宋" w:cs="仿宋"/>
                <w:snapToGrid w:val="0"/>
                <w:color w:val="000000" w:themeColor="text1"/>
                <w:kern w:val="0"/>
                <w:sz w:val="24"/>
                <w:szCs w:val="24"/>
                <w14:textFill>
                  <w14:solidFill>
                    <w14:schemeClr w14:val="tx1"/>
                  </w14:solidFill>
                </w14:textFill>
              </w:rPr>
              <w:t>医师在患者转科或出院前对患者本次住院所有费用明细进行自动审核，筛查出违规项目后实时提醒，以便医师及时处理</w:t>
            </w:r>
            <w:r>
              <w:rPr>
                <w:rFonts w:hint="eastAsia" w:ascii="仿宋" w:hAnsi="仿宋" w:eastAsia="仿宋" w:cs="仿宋"/>
                <w:snapToGrid w:val="0"/>
                <w:color w:val="000000" w:themeColor="text1"/>
                <w:kern w:val="0"/>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1.2.6</w:t>
            </w:r>
          </w:p>
        </w:tc>
        <w:tc>
          <w:tcPr>
            <w:tcW w:w="72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napToGrid w:val="0"/>
                <w:color w:val="000000" w:themeColor="text1"/>
                <w:kern w:val="0"/>
                <w:sz w:val="24"/>
                <w:szCs w:val="24"/>
                <w14:textFill>
                  <w14:solidFill>
                    <w14:schemeClr w14:val="tx1"/>
                  </w14:solidFill>
                </w14:textFill>
              </w:rPr>
            </w:pPr>
            <w:r>
              <w:rPr>
                <w:rFonts w:hint="eastAsia" w:ascii="仿宋" w:hAnsi="仿宋" w:eastAsia="仿宋" w:cs="仿宋"/>
                <w:snapToGrid w:val="0"/>
                <w:color w:val="000000" w:themeColor="text1"/>
                <w:kern w:val="0"/>
                <w:sz w:val="24"/>
                <w:szCs w:val="24"/>
                <w14:textFill>
                  <w14:solidFill>
                    <w14:schemeClr w14:val="tx1"/>
                  </w14:solidFill>
                </w14:textFill>
              </w:rPr>
              <w:t>住院医生站出院实时审核：</w:t>
            </w:r>
            <w:r>
              <w:rPr>
                <w:rFonts w:hint="eastAsia" w:ascii="仿宋" w:hAnsi="仿宋" w:eastAsia="仿宋" w:cs="仿宋"/>
                <w:color w:val="000000" w:themeColor="text1"/>
                <w:sz w:val="24"/>
                <w:szCs w:val="24"/>
                <w14:textFill>
                  <w14:solidFill>
                    <w14:schemeClr w14:val="tx1"/>
                  </w14:solidFill>
                </w14:textFill>
              </w:rPr>
              <w:t>在患者出院前，医师可对参保患者在院期间产生的所有费用进行审核，如有违规项目进行实时提醒。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1.2.7</w:t>
            </w:r>
          </w:p>
        </w:tc>
        <w:tc>
          <w:tcPr>
            <w:tcW w:w="72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napToGrid w:val="0"/>
                <w:color w:val="000000" w:themeColor="text1"/>
                <w:kern w:val="0"/>
                <w:sz w:val="24"/>
                <w:szCs w:val="24"/>
                <w14:textFill>
                  <w14:solidFill>
                    <w14:schemeClr w14:val="tx1"/>
                  </w14:solidFill>
                </w14:textFill>
              </w:rPr>
            </w:pPr>
            <w:r>
              <w:rPr>
                <w:rFonts w:hint="eastAsia" w:ascii="仿宋" w:hAnsi="仿宋" w:eastAsia="仿宋" w:cs="仿宋"/>
                <w:snapToGrid w:val="0"/>
                <w:color w:val="000000" w:themeColor="text1"/>
                <w:kern w:val="0"/>
                <w:sz w:val="24"/>
                <w:szCs w:val="24"/>
                <w14:textFill>
                  <w14:solidFill>
                    <w14:schemeClr w14:val="tx1"/>
                  </w14:solidFill>
                </w14:textFill>
              </w:rPr>
              <w:t>护士站出院实时审核：支持护士在患者转科或出院前对患者本次住院所有费用明细进行自动审核，筛查出违规项目后实时提醒，以便护士及时处理。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1.2.8</w:t>
            </w:r>
          </w:p>
        </w:tc>
        <w:tc>
          <w:tcPr>
            <w:tcW w:w="72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napToGrid w:val="0"/>
                <w:color w:val="000000" w:themeColor="text1"/>
                <w:kern w:val="0"/>
                <w:sz w:val="24"/>
                <w:szCs w:val="24"/>
                <w:lang w:eastAsia="zh-CN"/>
                <w14:textFill>
                  <w14:solidFill>
                    <w14:schemeClr w14:val="tx1"/>
                  </w14:solidFill>
                </w14:textFill>
              </w:rPr>
            </w:pPr>
            <w:r>
              <w:rPr>
                <w:rFonts w:hint="eastAsia" w:ascii="仿宋" w:hAnsi="仿宋" w:eastAsia="仿宋" w:cs="仿宋"/>
                <w:snapToGrid w:val="0"/>
                <w:color w:val="000000" w:themeColor="text1"/>
                <w:kern w:val="0"/>
                <w:sz w:val="24"/>
                <w:szCs w:val="24"/>
                <w14:textFill>
                  <w14:solidFill>
                    <w14:schemeClr w14:val="tx1"/>
                  </w14:solidFill>
                </w14:textFill>
              </w:rPr>
              <w:t>医保办出院实时审核：支持医保办在患者结算前，可对患者本次就诊所有费用明细再次审核，或复核医护人员对患者的出院审核结果，支持医保办人员调整患者的费用审核结果</w:t>
            </w:r>
            <w:r>
              <w:rPr>
                <w:rFonts w:hint="eastAsia" w:ascii="仿宋" w:hAnsi="仿宋" w:eastAsia="仿宋" w:cs="仿宋"/>
                <w:snapToGrid w:val="0"/>
                <w:color w:val="000000" w:themeColor="text1"/>
                <w:kern w:val="0"/>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1.2.9</w:t>
            </w:r>
          </w:p>
        </w:tc>
        <w:tc>
          <w:tcPr>
            <w:tcW w:w="72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napToGrid w:val="0"/>
                <w:color w:val="000000" w:themeColor="text1"/>
                <w:kern w:val="0"/>
                <w:sz w:val="24"/>
                <w:szCs w:val="24"/>
                <w14:textFill>
                  <w14:solidFill>
                    <w14:schemeClr w14:val="tx1"/>
                  </w14:solidFill>
                </w14:textFill>
              </w:rPr>
            </w:pPr>
            <w:r>
              <w:rPr>
                <w:rFonts w:hint="eastAsia" w:ascii="仿宋" w:hAnsi="仿宋" w:eastAsia="仿宋" w:cs="仿宋"/>
                <w:snapToGrid w:val="0"/>
                <w:color w:val="000000" w:themeColor="text1"/>
                <w:kern w:val="0"/>
                <w:sz w:val="24"/>
                <w:szCs w:val="24"/>
                <w14:textFill>
                  <w14:solidFill>
                    <w14:schemeClr w14:val="tx1"/>
                  </w14:solidFill>
                </w14:textFill>
              </w:rPr>
              <w:t>支持规则内涵查询：在审核提醒拦截时，支持医护人员查看违规项目的规则内涵。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w:t>
            </w:r>
          </w:p>
        </w:tc>
        <w:tc>
          <w:tcPr>
            <w:tcW w:w="72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napToGrid w:val="0"/>
                <w:color w:val="000000" w:themeColor="text1"/>
                <w:kern w:val="0"/>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智能医保助手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1.3.1</w:t>
            </w:r>
          </w:p>
        </w:tc>
        <w:tc>
          <w:tcPr>
            <w:tcW w:w="72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系统在桌面端内置智能医保小助手，实时提醒医务人员，方便医务人员直接查看重点数据，帮助医务人员通过小助手实现重点业务管理，提高医务人员工作效率。智能小助手包括消息通知、审核管理、业务查询、统计报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1.3.2</w:t>
            </w:r>
          </w:p>
        </w:tc>
        <w:tc>
          <w:tcPr>
            <w:tcW w:w="72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lang w:eastAsia="zh-CN"/>
              </w:rPr>
            </w:pPr>
            <w:r>
              <w:rPr>
                <w:rFonts w:hint="eastAsia" w:ascii="仿宋" w:hAnsi="仿宋" w:eastAsia="仿宋" w:cs="仿宋"/>
                <w:snapToGrid w:val="0"/>
                <w:kern w:val="0"/>
                <w:sz w:val="24"/>
                <w:szCs w:val="24"/>
              </w:rPr>
              <w:t>小助手弹窗</w:t>
            </w:r>
            <w:r>
              <w:rPr>
                <w:rFonts w:hint="eastAsia" w:ascii="仿宋" w:hAnsi="仿宋" w:eastAsia="仿宋" w:cs="仿宋"/>
                <w:sz w:val="24"/>
                <w:szCs w:val="24"/>
              </w:rPr>
              <w:t>：系统支持实时“待处理违规信息”、“待处理申诉”消息发送、操作消息提醒</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1.3.3</w:t>
            </w:r>
          </w:p>
        </w:tc>
        <w:tc>
          <w:tcPr>
            <w:tcW w:w="72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每晚预审处置：支持医师查询每晚审核结果，并对审核结果进行操作确认。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1.3.4</w:t>
            </w:r>
          </w:p>
        </w:tc>
        <w:tc>
          <w:tcPr>
            <w:tcW w:w="72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诊断匹配查询：支持提供诊断匹配查询功能，支持查询诊断包和诊断名称功能的查询.支持查询某类诊断下包含哪些诊断编码，支持查询某个诊断属于哪类诊断包。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w:t>
            </w:r>
          </w:p>
        </w:tc>
        <w:tc>
          <w:tcPr>
            <w:tcW w:w="72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rPr>
            </w:pPr>
            <w:r>
              <w:rPr>
                <w:rFonts w:hint="eastAsia" w:ascii="仿宋" w:hAnsi="仿宋" w:eastAsia="仿宋" w:cs="仿宋"/>
                <w:b/>
                <w:bCs/>
                <w:sz w:val="24"/>
                <w:szCs w:val="24"/>
              </w:rPr>
              <w:t>智能申诉管理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1.4.1</w:t>
            </w:r>
          </w:p>
        </w:tc>
        <w:tc>
          <w:tcPr>
            <w:tcW w:w="72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疑点管理：支持在系统中导入医保中心下发的初审扣款数据，提供导入功能、可以依据清算期号,疑点类型,医保类型,数据类型,选择文件等要求完成数据的导入</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1.4.2</w:t>
            </w:r>
          </w:p>
        </w:tc>
        <w:tc>
          <w:tcPr>
            <w:tcW w:w="72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lang w:eastAsia="zh-CN"/>
              </w:rPr>
            </w:pPr>
            <w:r>
              <w:rPr>
                <w:rFonts w:hint="eastAsia" w:ascii="仿宋" w:hAnsi="仿宋" w:eastAsia="仿宋" w:cs="仿宋"/>
                <w:sz w:val="24"/>
                <w:szCs w:val="24"/>
              </w:rPr>
              <w:t>申诉材料生成：支持对导入的中心疑点数据自动关联院内审核数据，并生成相应的申诉理由，作为申诉的参考依据</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1.4.3</w:t>
            </w:r>
          </w:p>
        </w:tc>
        <w:tc>
          <w:tcPr>
            <w:tcW w:w="72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申诉任务管理：提供院内申诉材料处理任务管理功能，支持医保办下发申诉任务，医师可查看申诉消息，对系统生成的申诉材料做修改和补充，支持导出申诉材料，智能审核出（包括医保局已下发的）的违规数据支持标记已处理（已各部门被罚的做标记和统计）、未处理，以报表形式展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w:t>
            </w:r>
          </w:p>
        </w:tc>
        <w:tc>
          <w:tcPr>
            <w:tcW w:w="7206" w:type="dxa"/>
            <w:vAlign w:val="center"/>
          </w:tcPr>
          <w:p>
            <w:pPr>
              <w:pStyle w:val="33"/>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sz w:val="24"/>
                <w:szCs w:val="24"/>
              </w:rPr>
            </w:pPr>
            <w:r>
              <w:rPr>
                <w:rFonts w:hint="eastAsia" w:ascii="仿宋" w:hAnsi="仿宋" w:eastAsia="仿宋" w:cs="仿宋"/>
                <w:b/>
                <w:bCs/>
                <w:sz w:val="24"/>
                <w:szCs w:val="24"/>
              </w:rPr>
              <w:t>智能辅助决策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1.5.1</w:t>
            </w:r>
          </w:p>
        </w:tc>
        <w:tc>
          <w:tcPr>
            <w:tcW w:w="72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snapToGrid w:val="0"/>
                <w:color w:val="000000" w:themeColor="text1"/>
                <w:kern w:val="0"/>
                <w:sz w:val="24"/>
                <w:szCs w:val="24"/>
                <w14:textFill>
                  <w14:solidFill>
                    <w14:schemeClr w14:val="tx1"/>
                  </w14:solidFill>
                </w14:textFill>
              </w:rPr>
              <w:t>智能审核查询：支持通过时间、院区、项目、科室、医师、审核结果等查询各个审核场景的审核结果，提供患者基本信息、审核过程数据、审核详情，支持数据导出。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1.5.2</w:t>
            </w:r>
          </w:p>
        </w:tc>
        <w:tc>
          <w:tcPr>
            <w:tcW w:w="72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snapToGrid w:val="0"/>
                <w:color w:val="000000" w:themeColor="text1"/>
                <w:kern w:val="0"/>
                <w:sz w:val="24"/>
                <w:szCs w:val="24"/>
                <w14:textFill>
                  <w14:solidFill>
                    <w14:schemeClr w14:val="tx1"/>
                  </w14:solidFill>
                </w14:textFill>
              </w:rPr>
              <w:t>审核预警分析：支持通过时间、审核场景、医保类型、规则等级等对预警项目做分析。从项目、规则、科室、医师多维度展示审核预警提醒情况及医师操作情况。并通过图表形式直观展示。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1.5.3</w:t>
            </w:r>
          </w:p>
        </w:tc>
        <w:tc>
          <w:tcPr>
            <w:tcW w:w="72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snapToGrid w:val="0"/>
                <w:color w:val="000000" w:themeColor="text1"/>
                <w:kern w:val="0"/>
                <w:sz w:val="24"/>
                <w:szCs w:val="24"/>
                <w14:textFill>
                  <w14:solidFill>
                    <w14:schemeClr w14:val="tx1"/>
                  </w14:solidFill>
                </w14:textFill>
              </w:rPr>
              <w:t>审核违规排名：支持对审核监管数据进行统计，对违规疑点项目明细进行排名，支持从项目、科室、医师等维度查看违规统计结果。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1.5.4</w:t>
            </w:r>
          </w:p>
        </w:tc>
        <w:tc>
          <w:tcPr>
            <w:tcW w:w="72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snapToGrid w:val="0"/>
                <w:color w:val="000000" w:themeColor="text1"/>
                <w:kern w:val="0"/>
                <w:sz w:val="24"/>
                <w:szCs w:val="24"/>
                <w14:textFill>
                  <w14:solidFill>
                    <w14:schemeClr w14:val="tx1"/>
                  </w14:solidFill>
                </w14:textFill>
              </w:rPr>
              <w:t>医保拒付分析：支持对导入的医保拒付疑点数据进行分析，查看拒付金额，按科室、医师、项目、规则等排名情况。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1.5.5</w:t>
            </w:r>
          </w:p>
        </w:tc>
        <w:tc>
          <w:tcPr>
            <w:tcW w:w="72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snapToGrid w:val="0"/>
                <w:color w:val="000000" w:themeColor="text1"/>
                <w:kern w:val="0"/>
                <w:sz w:val="24"/>
                <w:szCs w:val="24"/>
                <w14:textFill>
                  <w14:solidFill>
                    <w14:schemeClr w14:val="tx1"/>
                  </w14:solidFill>
                </w14:textFill>
              </w:rPr>
              <w:t>审核效果分析：支持对医保中心端事后审核拒付结果与医院内部智能审核结果做对比。提供拒付原因分析，通过分析找出拒付原因，用于医保办管理者明确改进方向。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w:t>
            </w:r>
          </w:p>
        </w:tc>
        <w:tc>
          <w:tcPr>
            <w:tcW w:w="7206"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智能诊疗监测：</w:t>
            </w:r>
            <w:r>
              <w:rPr>
                <w:rFonts w:hint="eastAsia" w:ascii="仿宋" w:hAnsi="仿宋" w:eastAsia="仿宋" w:cs="仿宋"/>
                <w:color w:val="000000" w:themeColor="text1"/>
                <w:sz w:val="24"/>
                <w:szCs w:val="24"/>
                <w14:textFill>
                  <w14:solidFill>
                    <w14:schemeClr w14:val="tx1"/>
                  </w14:solidFill>
                </w14:textFill>
              </w:rPr>
              <w:t>系统通过对就诊过程和医药进行智能诊疗监测，动态监控异常信息，对异常信息及时预警，规范诊疗行为，减少医保扣款。智能诊疗监测包括异常就诊监测、异常用药监测等。</w:t>
            </w:r>
          </w:p>
        </w:tc>
      </w:tr>
    </w:tbl>
    <w:p>
      <w:pPr>
        <w:pStyle w:val="2"/>
        <w:rPr>
          <w:rFonts w:hint="eastAsia"/>
          <w:lang w:val="en-US" w:eastAsia="zh-CN"/>
        </w:rPr>
      </w:pPr>
    </w:p>
    <w:p>
      <w:pPr>
        <w:pStyle w:val="5"/>
        <w:numPr>
          <w:ilvl w:val="1"/>
          <w:numId w:val="0"/>
        </w:numPr>
        <w:bidi w:val="0"/>
        <w:ind w:leftChars="0"/>
        <w:rPr>
          <w:rFonts w:hint="eastAsia"/>
          <w:lang w:val="en-US" w:eastAsia="zh-CN"/>
        </w:rPr>
      </w:pPr>
    </w:p>
    <w:p>
      <w:pPr>
        <w:pStyle w:val="5"/>
        <w:numPr>
          <w:ilvl w:val="1"/>
          <w:numId w:val="0"/>
        </w:numPr>
        <w:bidi w:val="0"/>
        <w:ind w:leftChars="0"/>
        <w:rPr>
          <w:rFonts w:hint="default"/>
          <w:lang w:val="en-US"/>
        </w:rPr>
      </w:pPr>
      <w:r>
        <w:rPr>
          <w:rFonts w:hint="eastAsia"/>
          <w:lang w:val="en-US" w:eastAsia="zh-CN"/>
        </w:rPr>
        <w:t>2.2系统对接要求</w:t>
      </w:r>
    </w:p>
    <w:p>
      <w:pPr>
        <w:ind w:firstLine="480"/>
        <w:rPr>
          <w:rFonts w:hint="eastAsia" w:ascii="仿宋" w:hAnsi="仿宋" w:eastAsia="仿宋" w:cs="仿宋"/>
        </w:rPr>
      </w:pPr>
      <w:r>
        <w:rPr>
          <w:rFonts w:hint="eastAsia" w:ascii="仿宋" w:hAnsi="仿宋" w:eastAsia="仿宋" w:cs="仿宋"/>
          <w:lang w:val="en-US" w:eastAsia="zh-CN"/>
        </w:rPr>
        <w:t>本项目需支持与医院HIS系统、医院集成平台及其他</w:t>
      </w:r>
      <w:bookmarkStart w:id="0" w:name="_GoBack"/>
      <w:bookmarkEnd w:id="0"/>
      <w:r>
        <w:rPr>
          <w:rFonts w:hint="eastAsia" w:ascii="仿宋" w:hAnsi="仿宋" w:eastAsia="仿宋" w:cs="仿宋"/>
          <w:lang w:val="en-US" w:eastAsia="zh-CN"/>
        </w:rPr>
        <w:t>第三方系统的对接。因医院集成平台暂还在完善阶段，后期需无条件配合医院完成接口切换。系统对接主要</w:t>
      </w:r>
      <w:r>
        <w:rPr>
          <w:rFonts w:hint="eastAsia" w:ascii="仿宋" w:hAnsi="仿宋" w:eastAsia="仿宋" w:cs="仿宋"/>
        </w:rPr>
        <w:t>获取医嘱、处方、费用明细、检验检查结果等数据，进行智能费用审核</w:t>
      </w:r>
      <w:r>
        <w:rPr>
          <w:rFonts w:hint="eastAsia" w:ascii="仿宋" w:hAnsi="仿宋" w:eastAsia="仿宋" w:cs="仿宋"/>
          <w:lang w:val="en-US" w:eastAsia="zh-CN"/>
        </w:rPr>
        <w:t>工作</w:t>
      </w:r>
      <w:r>
        <w:rPr>
          <w:rFonts w:hint="eastAsia" w:ascii="仿宋" w:hAnsi="仿宋" w:eastAsia="仿宋" w:cs="仿宋"/>
        </w:rPr>
        <w:t>，同时基于数据进行智能诊疗监测、医保指标监管、智能辅助决策等，实现事前、事中、事后的全流程审核监控。</w:t>
      </w:r>
    </w:p>
    <w:p>
      <w:pPr>
        <w:pStyle w:val="5"/>
        <w:numPr>
          <w:ilvl w:val="1"/>
          <w:numId w:val="0"/>
        </w:numPr>
        <w:bidi w:val="0"/>
        <w:ind w:leftChars="0"/>
        <w:rPr>
          <w:rFonts w:hint="eastAsia" w:ascii="Times New Roman" w:hAnsi="Times New Roman"/>
          <w:lang w:val="en-US" w:eastAsia="zh-CN"/>
        </w:rPr>
      </w:pPr>
      <w:r>
        <w:rPr>
          <w:rFonts w:hint="eastAsia" w:ascii="Times New Roman" w:hAnsi="Times New Roman"/>
          <w:lang w:val="en-US" w:eastAsia="zh-CN"/>
        </w:rPr>
        <w:t>2.3其他要求</w:t>
      </w:r>
    </w:p>
    <w:p>
      <w:pPr>
        <w:pStyle w:val="2"/>
        <w:ind w:left="0" w:leftChars="0" w:firstLine="0" w:firstLineChars="0"/>
      </w:pPr>
      <w:r>
        <w:rPr>
          <w:rFonts w:hint="eastAsia" w:ascii="仿宋" w:hAnsi="仿宋" w:eastAsia="仿宋" w:cs="仿宋"/>
          <w:lang w:val="en-US" w:eastAsia="zh-CN"/>
        </w:rPr>
        <w:t xml:space="preserve">   项目要求质保期三年、源代码开放（针对医院内部业务开发）。</w:t>
      </w:r>
    </w:p>
    <w:sectPr>
      <w:pgSz w:w="11905" w:h="16837" w:orient="landscape"/>
      <w:pgMar w:top="1440" w:right="1800" w:bottom="1440" w:left="1800" w:header="850" w:footer="991"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5A277E"/>
    <w:multiLevelType w:val="multilevel"/>
    <w:tmpl w:val="3B5A277E"/>
    <w:lvl w:ilvl="0" w:tentative="0">
      <w:start w:val="1"/>
      <w:numFmt w:val="chineseCountingThousand"/>
      <w:pStyle w:val="4"/>
      <w:lvlText w:val="%1"/>
      <w:lvlJc w:val="left"/>
      <w:pPr>
        <w:ind w:left="0" w:firstLine="0"/>
      </w:pPr>
      <w:rPr>
        <w:rFonts w:hint="eastAsia"/>
      </w:rPr>
    </w:lvl>
    <w:lvl w:ilvl="1" w:tentative="0">
      <w:start w:val="1"/>
      <w:numFmt w:val="decimal"/>
      <w:pStyle w:val="5"/>
      <w:isLgl/>
      <w:lvlText w:val="%1.%2"/>
      <w:lvlJc w:val="left"/>
      <w:pPr>
        <w:ind w:left="0" w:firstLine="0"/>
      </w:pPr>
      <w:rPr>
        <w:rFonts w:hint="default" w:ascii="Times New Roman" w:hAnsi="Times New Roman" w:eastAsia="宋体"/>
      </w:rPr>
    </w:lvl>
    <w:lvl w:ilvl="2" w:tentative="0">
      <w:start w:val="1"/>
      <w:numFmt w:val="decimal"/>
      <w:pStyle w:val="6"/>
      <w:isLgl/>
      <w:lvlText w:val="%1.%2.%3"/>
      <w:lvlJc w:val="left"/>
      <w:pPr>
        <w:ind w:left="0" w:firstLine="0"/>
      </w:pPr>
      <w:rPr>
        <w:rFonts w:hint="default" w:ascii="Times New Roman" w:hAnsi="Times New Roman" w:eastAsia="宋体"/>
      </w:rPr>
    </w:lvl>
    <w:lvl w:ilvl="3" w:tentative="0">
      <w:start w:val="1"/>
      <w:numFmt w:val="decimal"/>
      <w:pStyle w:val="7"/>
      <w:isLgl/>
      <w:lvlText w:val="%1.%2.%3.%4"/>
      <w:lvlJc w:val="left"/>
      <w:pPr>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1YmQ5NWVhNTJiNjQxYjNiNWIzY2NhNjU1MGQ4YmQifQ=="/>
  </w:docVars>
  <w:rsids>
    <w:rsidRoot w:val="00D67FAC"/>
    <w:rsid w:val="00003119"/>
    <w:rsid w:val="00021E12"/>
    <w:rsid w:val="000565A6"/>
    <w:rsid w:val="00066DCB"/>
    <w:rsid w:val="000918D8"/>
    <w:rsid w:val="0009294F"/>
    <w:rsid w:val="000D5EFD"/>
    <w:rsid w:val="000F2D3A"/>
    <w:rsid w:val="000F67EF"/>
    <w:rsid w:val="00122E11"/>
    <w:rsid w:val="001454C2"/>
    <w:rsid w:val="00164B03"/>
    <w:rsid w:val="00192D51"/>
    <w:rsid w:val="001A1B31"/>
    <w:rsid w:val="001A2B04"/>
    <w:rsid w:val="001A2FAB"/>
    <w:rsid w:val="001A30FF"/>
    <w:rsid w:val="001A3D94"/>
    <w:rsid w:val="00201953"/>
    <w:rsid w:val="00201AC6"/>
    <w:rsid w:val="0022242C"/>
    <w:rsid w:val="002233BD"/>
    <w:rsid w:val="00245AF8"/>
    <w:rsid w:val="00264B20"/>
    <w:rsid w:val="002714DB"/>
    <w:rsid w:val="0027199D"/>
    <w:rsid w:val="00271F48"/>
    <w:rsid w:val="00280C9F"/>
    <w:rsid w:val="00285FA4"/>
    <w:rsid w:val="002B2C33"/>
    <w:rsid w:val="002C6D6C"/>
    <w:rsid w:val="002E18A3"/>
    <w:rsid w:val="002E6044"/>
    <w:rsid w:val="00350E52"/>
    <w:rsid w:val="003524F1"/>
    <w:rsid w:val="003578E6"/>
    <w:rsid w:val="00375A16"/>
    <w:rsid w:val="003930B0"/>
    <w:rsid w:val="003D53E2"/>
    <w:rsid w:val="003D6C04"/>
    <w:rsid w:val="003E032A"/>
    <w:rsid w:val="003F51B3"/>
    <w:rsid w:val="0041372B"/>
    <w:rsid w:val="00414654"/>
    <w:rsid w:val="004300D2"/>
    <w:rsid w:val="00433925"/>
    <w:rsid w:val="00440F6B"/>
    <w:rsid w:val="00443998"/>
    <w:rsid w:val="0045183B"/>
    <w:rsid w:val="00453518"/>
    <w:rsid w:val="00457597"/>
    <w:rsid w:val="004612DE"/>
    <w:rsid w:val="004C3389"/>
    <w:rsid w:val="004E50F9"/>
    <w:rsid w:val="004F5CDC"/>
    <w:rsid w:val="00521F58"/>
    <w:rsid w:val="0052608C"/>
    <w:rsid w:val="005313F2"/>
    <w:rsid w:val="0053624A"/>
    <w:rsid w:val="00573940"/>
    <w:rsid w:val="00576A94"/>
    <w:rsid w:val="00585497"/>
    <w:rsid w:val="00593D40"/>
    <w:rsid w:val="005961B3"/>
    <w:rsid w:val="005B790D"/>
    <w:rsid w:val="005C3252"/>
    <w:rsid w:val="005E5177"/>
    <w:rsid w:val="00612624"/>
    <w:rsid w:val="00613F88"/>
    <w:rsid w:val="0062252D"/>
    <w:rsid w:val="00625FDE"/>
    <w:rsid w:val="00634743"/>
    <w:rsid w:val="006426F1"/>
    <w:rsid w:val="00644919"/>
    <w:rsid w:val="00650FEE"/>
    <w:rsid w:val="00654F2C"/>
    <w:rsid w:val="00656060"/>
    <w:rsid w:val="00657569"/>
    <w:rsid w:val="00670C52"/>
    <w:rsid w:val="006744F4"/>
    <w:rsid w:val="00693430"/>
    <w:rsid w:val="006C723D"/>
    <w:rsid w:val="006D4096"/>
    <w:rsid w:val="007068DC"/>
    <w:rsid w:val="007203E7"/>
    <w:rsid w:val="00731190"/>
    <w:rsid w:val="007354E1"/>
    <w:rsid w:val="00745220"/>
    <w:rsid w:val="00747424"/>
    <w:rsid w:val="007669A5"/>
    <w:rsid w:val="00774264"/>
    <w:rsid w:val="007946EE"/>
    <w:rsid w:val="007B0268"/>
    <w:rsid w:val="007B428F"/>
    <w:rsid w:val="007C1B60"/>
    <w:rsid w:val="007E10C3"/>
    <w:rsid w:val="007F79DF"/>
    <w:rsid w:val="0080411A"/>
    <w:rsid w:val="008107BD"/>
    <w:rsid w:val="00814163"/>
    <w:rsid w:val="008203E2"/>
    <w:rsid w:val="00827D8A"/>
    <w:rsid w:val="00836E17"/>
    <w:rsid w:val="008402BD"/>
    <w:rsid w:val="0085137E"/>
    <w:rsid w:val="008647B0"/>
    <w:rsid w:val="008734FC"/>
    <w:rsid w:val="008767D1"/>
    <w:rsid w:val="008856B2"/>
    <w:rsid w:val="008A5BA3"/>
    <w:rsid w:val="008B27D9"/>
    <w:rsid w:val="008B43E7"/>
    <w:rsid w:val="008C788B"/>
    <w:rsid w:val="008D03B9"/>
    <w:rsid w:val="008E25EA"/>
    <w:rsid w:val="008F152D"/>
    <w:rsid w:val="008F7A0A"/>
    <w:rsid w:val="00913711"/>
    <w:rsid w:val="00953FF8"/>
    <w:rsid w:val="0095525E"/>
    <w:rsid w:val="00963E7D"/>
    <w:rsid w:val="00970F4F"/>
    <w:rsid w:val="0097796D"/>
    <w:rsid w:val="00992DBF"/>
    <w:rsid w:val="009965C7"/>
    <w:rsid w:val="009C6EE3"/>
    <w:rsid w:val="009D0E57"/>
    <w:rsid w:val="009E0DBB"/>
    <w:rsid w:val="009E2F13"/>
    <w:rsid w:val="009E408F"/>
    <w:rsid w:val="009F0664"/>
    <w:rsid w:val="009F469F"/>
    <w:rsid w:val="00A11C02"/>
    <w:rsid w:val="00A201CF"/>
    <w:rsid w:val="00A34F5A"/>
    <w:rsid w:val="00A4510D"/>
    <w:rsid w:val="00A526C5"/>
    <w:rsid w:val="00A817F6"/>
    <w:rsid w:val="00AA28FD"/>
    <w:rsid w:val="00AA6765"/>
    <w:rsid w:val="00AD2D97"/>
    <w:rsid w:val="00AE450C"/>
    <w:rsid w:val="00AE5D4B"/>
    <w:rsid w:val="00B155C5"/>
    <w:rsid w:val="00B16332"/>
    <w:rsid w:val="00B25375"/>
    <w:rsid w:val="00B52A9E"/>
    <w:rsid w:val="00B52C9C"/>
    <w:rsid w:val="00B827FD"/>
    <w:rsid w:val="00BA03BD"/>
    <w:rsid w:val="00BA6BD2"/>
    <w:rsid w:val="00BD7C4B"/>
    <w:rsid w:val="00BE1693"/>
    <w:rsid w:val="00BF2657"/>
    <w:rsid w:val="00C0300F"/>
    <w:rsid w:val="00C127C9"/>
    <w:rsid w:val="00C229F9"/>
    <w:rsid w:val="00C31E1F"/>
    <w:rsid w:val="00C40014"/>
    <w:rsid w:val="00C42675"/>
    <w:rsid w:val="00C46EF1"/>
    <w:rsid w:val="00C54C73"/>
    <w:rsid w:val="00C6499D"/>
    <w:rsid w:val="00C86843"/>
    <w:rsid w:val="00C93DF9"/>
    <w:rsid w:val="00C93F4C"/>
    <w:rsid w:val="00C96E71"/>
    <w:rsid w:val="00CD05A6"/>
    <w:rsid w:val="00CD3D41"/>
    <w:rsid w:val="00CE3038"/>
    <w:rsid w:val="00CF58CA"/>
    <w:rsid w:val="00D0156D"/>
    <w:rsid w:val="00D01F8D"/>
    <w:rsid w:val="00D11499"/>
    <w:rsid w:val="00D41797"/>
    <w:rsid w:val="00D45C97"/>
    <w:rsid w:val="00D526EE"/>
    <w:rsid w:val="00D52E77"/>
    <w:rsid w:val="00D5507A"/>
    <w:rsid w:val="00D559D4"/>
    <w:rsid w:val="00D60F63"/>
    <w:rsid w:val="00D62545"/>
    <w:rsid w:val="00D63276"/>
    <w:rsid w:val="00D67FAC"/>
    <w:rsid w:val="00D83EB7"/>
    <w:rsid w:val="00D925A6"/>
    <w:rsid w:val="00D96616"/>
    <w:rsid w:val="00DA1BF8"/>
    <w:rsid w:val="00DA22C3"/>
    <w:rsid w:val="00DD43F8"/>
    <w:rsid w:val="00DE1407"/>
    <w:rsid w:val="00E101D2"/>
    <w:rsid w:val="00E14234"/>
    <w:rsid w:val="00E2436C"/>
    <w:rsid w:val="00E367CF"/>
    <w:rsid w:val="00E37F8E"/>
    <w:rsid w:val="00E43D76"/>
    <w:rsid w:val="00E45AB8"/>
    <w:rsid w:val="00E46A83"/>
    <w:rsid w:val="00E64103"/>
    <w:rsid w:val="00E67891"/>
    <w:rsid w:val="00E728F4"/>
    <w:rsid w:val="00E853DF"/>
    <w:rsid w:val="00E91D0F"/>
    <w:rsid w:val="00EA5AE3"/>
    <w:rsid w:val="00EB75A6"/>
    <w:rsid w:val="00EC10D9"/>
    <w:rsid w:val="00EE229F"/>
    <w:rsid w:val="00EF0827"/>
    <w:rsid w:val="00F02A82"/>
    <w:rsid w:val="00F04A08"/>
    <w:rsid w:val="00F5068E"/>
    <w:rsid w:val="00F63A3D"/>
    <w:rsid w:val="00F91B93"/>
    <w:rsid w:val="00FA2FAD"/>
    <w:rsid w:val="00FA75B9"/>
    <w:rsid w:val="00FB44F3"/>
    <w:rsid w:val="00FE1481"/>
    <w:rsid w:val="00FE7E87"/>
    <w:rsid w:val="01050944"/>
    <w:rsid w:val="0AFE53BA"/>
    <w:rsid w:val="0EF56F8E"/>
    <w:rsid w:val="20700ABB"/>
    <w:rsid w:val="271709AC"/>
    <w:rsid w:val="28BF71F2"/>
    <w:rsid w:val="2CF75313"/>
    <w:rsid w:val="34085657"/>
    <w:rsid w:val="347C6618"/>
    <w:rsid w:val="37310572"/>
    <w:rsid w:val="4B851AD0"/>
    <w:rsid w:val="4DDB31F5"/>
    <w:rsid w:val="54D36199"/>
    <w:rsid w:val="5AAE2166"/>
    <w:rsid w:val="5EB94B34"/>
    <w:rsid w:val="618D2CE4"/>
    <w:rsid w:val="632F43F6"/>
    <w:rsid w:val="7AE00CFB"/>
    <w:rsid w:val="7C0F7CC8"/>
    <w:rsid w:val="7CE00428"/>
    <w:rsid w:val="7F1F7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200" w:firstLineChars="200"/>
    </w:pPr>
    <w:rPr>
      <w:rFonts w:ascii="Times New Roman" w:hAnsi="Times New Roman" w:eastAsia="宋体" w:cstheme="minorBidi"/>
      <w:kern w:val="2"/>
      <w:sz w:val="24"/>
      <w:lang w:val="en-US" w:eastAsia="zh-CN" w:bidi="ar-SA"/>
    </w:rPr>
  </w:style>
  <w:style w:type="paragraph" w:styleId="4">
    <w:name w:val="heading 1"/>
    <w:basedOn w:val="1"/>
    <w:next w:val="1"/>
    <w:link w:val="31"/>
    <w:autoRedefine/>
    <w:qFormat/>
    <w:uiPriority w:val="9"/>
    <w:pPr>
      <w:keepNext/>
      <w:keepLines/>
      <w:numPr>
        <w:ilvl w:val="0"/>
        <w:numId w:val="1"/>
      </w:numPr>
      <w:spacing w:before="340" w:after="340"/>
      <w:ind w:firstLineChars="0"/>
      <w:outlineLvl w:val="0"/>
    </w:pPr>
    <w:rPr>
      <w:b/>
      <w:bCs/>
      <w:kern w:val="44"/>
      <w:sz w:val="30"/>
      <w:szCs w:val="44"/>
    </w:rPr>
  </w:style>
  <w:style w:type="paragraph" w:styleId="5">
    <w:name w:val="heading 2"/>
    <w:basedOn w:val="1"/>
    <w:next w:val="1"/>
    <w:autoRedefine/>
    <w:unhideWhenUsed/>
    <w:qFormat/>
    <w:uiPriority w:val="9"/>
    <w:pPr>
      <w:keepNext/>
      <w:keepLines/>
      <w:numPr>
        <w:ilvl w:val="1"/>
        <w:numId w:val="1"/>
      </w:numPr>
      <w:spacing w:before="260" w:after="260"/>
      <w:ind w:firstLineChars="0"/>
      <w:outlineLvl w:val="1"/>
    </w:pPr>
    <w:rPr>
      <w:rFonts w:cstheme="majorBidi"/>
      <w:b/>
      <w:sz w:val="30"/>
    </w:rPr>
  </w:style>
  <w:style w:type="paragraph" w:styleId="6">
    <w:name w:val="heading 3"/>
    <w:basedOn w:val="1"/>
    <w:next w:val="1"/>
    <w:autoRedefine/>
    <w:unhideWhenUsed/>
    <w:qFormat/>
    <w:uiPriority w:val="9"/>
    <w:pPr>
      <w:keepNext/>
      <w:keepLines/>
      <w:numPr>
        <w:ilvl w:val="2"/>
        <w:numId w:val="1"/>
      </w:numPr>
      <w:spacing w:before="260" w:after="260"/>
      <w:ind w:firstLineChars="0"/>
      <w:outlineLvl w:val="2"/>
    </w:pPr>
    <w:rPr>
      <w:b/>
      <w:sz w:val="30"/>
    </w:rPr>
  </w:style>
  <w:style w:type="paragraph" w:styleId="7">
    <w:name w:val="heading 4"/>
    <w:basedOn w:val="1"/>
    <w:next w:val="1"/>
    <w:autoRedefine/>
    <w:unhideWhenUsed/>
    <w:qFormat/>
    <w:uiPriority w:val="9"/>
    <w:pPr>
      <w:keepNext/>
      <w:keepLines/>
      <w:numPr>
        <w:ilvl w:val="3"/>
        <w:numId w:val="1"/>
      </w:numPr>
      <w:spacing w:before="260" w:after="260"/>
      <w:ind w:firstLineChars="0"/>
      <w:outlineLvl w:val="3"/>
    </w:pPr>
    <w:rPr>
      <w:rFonts w:cstheme="majorBidi"/>
      <w:b/>
      <w:sz w:val="28"/>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0"/>
    <w:pPr>
      <w:ind w:firstLine="420" w:firstLineChars="100"/>
    </w:pPr>
  </w:style>
  <w:style w:type="paragraph" w:styleId="3">
    <w:name w:val="Body Text"/>
    <w:basedOn w:val="1"/>
    <w:autoRedefine/>
    <w:qFormat/>
    <w:uiPriority w:val="0"/>
    <w:pPr>
      <w:ind w:left="637"/>
    </w:pPr>
    <w:rPr>
      <w:rFonts w:ascii="宋体" w:hAnsi="宋体" w:cs="宋体"/>
      <w:kern w:val="0"/>
    </w:rPr>
  </w:style>
  <w:style w:type="paragraph" w:styleId="8">
    <w:name w:val="Normal Indent"/>
    <w:basedOn w:val="1"/>
    <w:autoRedefine/>
    <w:qFormat/>
    <w:uiPriority w:val="0"/>
    <w:pPr>
      <w:ind w:firstLine="420"/>
    </w:pPr>
  </w:style>
  <w:style w:type="paragraph" w:styleId="9">
    <w:name w:val="annotation text"/>
    <w:basedOn w:val="1"/>
    <w:autoRedefine/>
    <w:qFormat/>
    <w:uiPriority w:val="0"/>
    <w:rPr>
      <w:rFonts w:ascii="Calibri" w:hAnsi="Calibri" w:cs="Calibri"/>
    </w:rPr>
  </w:style>
  <w:style w:type="paragraph" w:styleId="10">
    <w:name w:val="footer"/>
    <w:basedOn w:val="1"/>
    <w:autoRedefine/>
    <w:qFormat/>
    <w:uiPriority w:val="0"/>
    <w:rPr>
      <w:sz w:val="18"/>
    </w:rPr>
  </w:style>
  <w:style w:type="paragraph" w:styleId="11">
    <w:name w:val="header"/>
    <w:basedOn w:val="1"/>
    <w:autoRedefine/>
    <w:qFormat/>
    <w:uiPriority w:val="0"/>
    <w:pPr>
      <w:pBdr>
        <w:bottom w:val="single" w:color="000000" w:sz="6" w:space="1"/>
      </w:pBdr>
      <w:jc w:val="center"/>
    </w:pPr>
    <w:rPr>
      <w:sz w:val="18"/>
    </w:rPr>
  </w:style>
  <w:style w:type="table" w:styleId="13">
    <w:name w:val="Table Grid"/>
    <w:basedOn w:val="12"/>
    <w:autoRedefine/>
    <w:qFormat/>
    <w:uiPriority w:val="0"/>
    <w:pPr>
      <w:widowControl w:val="0"/>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Strong"/>
    <w:basedOn w:val="14"/>
    <w:autoRedefine/>
    <w:qFormat/>
    <w:uiPriority w:val="0"/>
    <w:rPr>
      <w:b/>
    </w:rPr>
  </w:style>
  <w:style w:type="character" w:styleId="16">
    <w:name w:val="annotation reference"/>
    <w:autoRedefine/>
    <w:qFormat/>
    <w:uiPriority w:val="0"/>
    <w:rPr>
      <w:sz w:val="21"/>
    </w:rPr>
  </w:style>
  <w:style w:type="character" w:customStyle="1" w:styleId="17">
    <w:name w:val="标题 3 字符"/>
    <w:basedOn w:val="14"/>
    <w:autoRedefine/>
    <w:qFormat/>
    <w:uiPriority w:val="0"/>
    <w:rPr>
      <w:b/>
      <w:kern w:val="2"/>
      <w:sz w:val="32"/>
    </w:rPr>
  </w:style>
  <w:style w:type="character" w:customStyle="1" w:styleId="18">
    <w:name w:val="标题 4 字符"/>
    <w:basedOn w:val="14"/>
    <w:autoRedefine/>
    <w:qFormat/>
    <w:uiPriority w:val="0"/>
    <w:rPr>
      <w:rFonts w:asciiTheme="majorHAnsi" w:hAnsiTheme="majorHAnsi" w:eastAsiaTheme="majorEastAsia" w:cstheme="majorBidi"/>
      <w:b/>
      <w:kern w:val="2"/>
      <w:sz w:val="28"/>
    </w:rPr>
  </w:style>
  <w:style w:type="character" w:customStyle="1" w:styleId="19">
    <w:name w:val="正文文本 字符"/>
    <w:basedOn w:val="14"/>
    <w:autoRedefine/>
    <w:qFormat/>
    <w:uiPriority w:val="0"/>
    <w:rPr>
      <w:rFonts w:ascii="宋体" w:hAnsi="宋体" w:eastAsia="宋体" w:cs="宋体"/>
      <w:sz w:val="21"/>
    </w:rPr>
  </w:style>
  <w:style w:type="paragraph" w:customStyle="1" w:styleId="20">
    <w:name w:val="正文缩进_0"/>
    <w:basedOn w:val="21"/>
    <w:autoRedefine/>
    <w:qFormat/>
    <w:uiPriority w:val="0"/>
    <w:pPr>
      <w:ind w:firstLine="420"/>
    </w:pPr>
    <w:rPr>
      <w:rFonts w:ascii="Times New Roman" w:hAnsi="Times New Roman"/>
      <w:kern w:val="0"/>
    </w:rPr>
  </w:style>
  <w:style w:type="paragraph" w:customStyle="1" w:styleId="21">
    <w:name w:val="正文_1"/>
    <w:autoRedefine/>
    <w:qFormat/>
    <w:uiPriority w:val="0"/>
    <w:pPr>
      <w:widowControl w:val="0"/>
    </w:pPr>
    <w:rPr>
      <w:rFonts w:ascii="Calibri" w:hAnsi="Calibri" w:eastAsiaTheme="minorEastAsia" w:cstheme="minorBidi"/>
      <w:kern w:val="2"/>
      <w:sz w:val="21"/>
      <w:lang w:val="en-US" w:eastAsia="zh-CN" w:bidi="ar-SA"/>
    </w:rPr>
  </w:style>
  <w:style w:type="character" w:customStyle="1" w:styleId="22">
    <w:name w:val="批注文字 字符1"/>
    <w:autoRedefine/>
    <w:qFormat/>
    <w:uiPriority w:val="0"/>
    <w:rPr>
      <w:rFonts w:ascii="Calibri" w:hAnsi="Calibri" w:eastAsia="宋体" w:cs="Calibri"/>
      <w:kern w:val="2"/>
      <w:sz w:val="21"/>
    </w:rPr>
  </w:style>
  <w:style w:type="paragraph" w:customStyle="1" w:styleId="23">
    <w:name w:val="列出段落1"/>
    <w:basedOn w:val="1"/>
    <w:autoRedefine/>
    <w:qFormat/>
    <w:uiPriority w:val="0"/>
    <w:pPr>
      <w:ind w:firstLine="420"/>
    </w:pPr>
    <w:rPr>
      <w:rFonts w:cs="Times New Roman"/>
    </w:rPr>
  </w:style>
  <w:style w:type="character" w:customStyle="1" w:styleId="24">
    <w:name w:val="正文缩进 Char_0"/>
    <w:autoRedefine/>
    <w:qFormat/>
    <w:uiPriority w:val="0"/>
    <w:rPr>
      <w:rFonts w:ascii="Times New Roman" w:hAnsi="Times New Roman" w:eastAsia="宋体" w:cs="Times New Roman"/>
      <w:sz w:val="21"/>
    </w:rPr>
  </w:style>
  <w:style w:type="character" w:customStyle="1" w:styleId="25">
    <w:name w:val="页脚 字符"/>
    <w:basedOn w:val="14"/>
    <w:autoRedefine/>
    <w:qFormat/>
    <w:uiPriority w:val="0"/>
    <w:rPr>
      <w:kern w:val="2"/>
      <w:sz w:val="18"/>
    </w:rPr>
  </w:style>
  <w:style w:type="character" w:customStyle="1" w:styleId="26">
    <w:name w:val="页眉 字符"/>
    <w:basedOn w:val="14"/>
    <w:autoRedefine/>
    <w:qFormat/>
    <w:uiPriority w:val="0"/>
    <w:rPr>
      <w:kern w:val="2"/>
      <w:sz w:val="18"/>
    </w:rPr>
  </w:style>
  <w:style w:type="paragraph" w:styleId="27">
    <w:name w:val="List Paragraph"/>
    <w:basedOn w:val="1"/>
    <w:autoRedefine/>
    <w:qFormat/>
    <w:uiPriority w:val="34"/>
    <w:pPr>
      <w:ind w:firstLine="420"/>
    </w:pPr>
  </w:style>
  <w:style w:type="character" w:customStyle="1" w:styleId="28">
    <w:name w:val="列表段落 字符"/>
    <w:autoRedefine/>
    <w:qFormat/>
    <w:uiPriority w:val="0"/>
    <w:rPr>
      <w:kern w:val="2"/>
      <w:sz w:val="21"/>
    </w:rPr>
  </w:style>
  <w:style w:type="character" w:customStyle="1" w:styleId="29">
    <w:name w:val="批注文字 字符"/>
    <w:basedOn w:val="14"/>
    <w:autoRedefine/>
    <w:qFormat/>
    <w:uiPriority w:val="0"/>
    <w:rPr>
      <w:kern w:val="2"/>
      <w:sz w:val="21"/>
    </w:rPr>
  </w:style>
  <w:style w:type="paragraph" w:customStyle="1" w:styleId="30">
    <w:name w:val="监测指标、参考指标"/>
    <w:basedOn w:val="1"/>
    <w:autoRedefine/>
    <w:qFormat/>
    <w:uiPriority w:val="0"/>
    <w:pPr>
      <w:outlineLvl w:val="1"/>
    </w:pPr>
    <w:rPr>
      <w:rFonts w:eastAsia="仿宋_GB2312"/>
      <w:b/>
      <w:sz w:val="28"/>
      <w:szCs w:val="28"/>
    </w:rPr>
  </w:style>
  <w:style w:type="character" w:customStyle="1" w:styleId="31">
    <w:name w:val="标题 1 字符"/>
    <w:basedOn w:val="14"/>
    <w:link w:val="4"/>
    <w:autoRedefine/>
    <w:qFormat/>
    <w:uiPriority w:val="9"/>
    <w:rPr>
      <w:rFonts w:cstheme="minorBidi"/>
      <w:b/>
      <w:bCs/>
      <w:kern w:val="44"/>
      <w:sz w:val="30"/>
      <w:szCs w:val="44"/>
    </w:rPr>
  </w:style>
  <w:style w:type="paragraph" w:customStyle="1" w:styleId="32">
    <w:name w:val="正文缩进2"/>
    <w:basedOn w:val="1"/>
    <w:autoRedefine/>
    <w:qFormat/>
    <w:uiPriority w:val="0"/>
    <w:pPr>
      <w:ind w:firstLine="200" w:firstLineChars="200"/>
    </w:pPr>
    <w:rPr>
      <w:rFonts w:eastAsia="仿宋" w:asciiTheme="minorAscii" w:hAnsiTheme="minorAscii" w:cstheme="minorBidi"/>
      <w:sz w:val="24"/>
    </w:rPr>
  </w:style>
  <w:style w:type="paragraph" w:customStyle="1" w:styleId="33">
    <w:name w:val="方案正文"/>
    <w:basedOn w:val="1"/>
    <w:autoRedefine/>
    <w:qFormat/>
    <w:uiPriority w:val="0"/>
    <w:pPr>
      <w:spacing w:line="360" w:lineRule="auto"/>
      <w:ind w:firstLine="200" w:firstLineChars="200"/>
    </w:pPr>
    <w:rPr>
      <w:rFonts w:ascii="Tahoma" w:hAnsi="Tahoma" w:eastAsia="仿宋"/>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750</Words>
  <Characters>4279</Characters>
  <Lines>35</Lines>
  <Paragraphs>10</Paragraphs>
  <TotalTime>1</TotalTime>
  <ScaleCrop>false</ScaleCrop>
  <LinksUpToDate>false</LinksUpToDate>
  <CharactersWithSpaces>5019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2024-03-20T09:31:00Z</dcterms:created>
  <dc:creator>DingTalk</dc:creator>
  <dc:description>DingTalk Document</dc:description>
  <cp:lastModifiedBy>James</cp:lastModifiedBy>
  <dcterms:modified xsi:type="dcterms:W3CDTF">2024-03-29T07:47:24Z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0B75B2D4A7864FE6AFE867B341B9C42A_13</vt:lpwstr>
  </property>
</Properties>
</file>