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 w:val="0"/>
          <w:bCs/>
          <w:sz w:val="28"/>
          <w:szCs w:val="20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0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  <w:lang w:val="en-US" w:eastAsia="zh-CN"/>
        </w:rPr>
        <w:t>南科大医院二期大楼开办费咨询服务</w:t>
      </w:r>
      <w:r>
        <w:rPr>
          <w:rFonts w:hint="eastAsia" w:ascii="宋体" w:hAnsi="宋体" w:eastAsia="宋体"/>
          <w:b/>
          <w:sz w:val="36"/>
        </w:rPr>
        <w:t>项目</w:t>
      </w:r>
    </w:p>
    <w:p>
      <w:pPr>
        <w:pStyle w:val="4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论证方案</w:t>
      </w:r>
    </w:p>
    <w:p>
      <w:pPr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一、项目概况</w:t>
      </w:r>
    </w:p>
    <w:p>
      <w:pPr>
        <w:pStyle w:val="5"/>
        <w:keepNext w:val="0"/>
        <w:keepLines w:val="0"/>
        <w:pageBreakBefore w:val="0"/>
        <w:tabs>
          <w:tab w:val="right" w:leader="dot" w:pos="8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为了满足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南方科技大学</w:t>
      </w:r>
      <w:r>
        <w:rPr>
          <w:rFonts w:hint="eastAsia" w:ascii="宋体" w:hAnsi="宋体" w:eastAsia="宋体" w:cs="宋体"/>
          <w:sz w:val="21"/>
          <w:szCs w:val="21"/>
        </w:rPr>
        <w:t>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二期大楼</w:t>
      </w:r>
      <w:r>
        <w:rPr>
          <w:rFonts w:hint="eastAsia" w:ascii="宋体" w:hAnsi="宋体" w:eastAsia="宋体" w:cs="宋体"/>
          <w:sz w:val="21"/>
          <w:szCs w:val="21"/>
        </w:rPr>
        <w:t>土建施工、医疗设备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信息化项目、</w:t>
      </w:r>
      <w:r>
        <w:rPr>
          <w:rFonts w:hint="eastAsia" w:ascii="宋体" w:hAnsi="宋体" w:eastAsia="宋体" w:cs="宋体"/>
          <w:sz w:val="21"/>
          <w:szCs w:val="21"/>
        </w:rPr>
        <w:t>开办设备同步推进的要求，现开展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南科大医院二期大楼</w:t>
      </w:r>
      <w:r>
        <w:rPr>
          <w:rFonts w:hint="eastAsia" w:ascii="宋体" w:hAnsi="宋体" w:eastAsia="宋体" w:cs="宋体"/>
          <w:sz w:val="21"/>
          <w:szCs w:val="21"/>
        </w:rPr>
        <w:t>开办费技术文件编制。</w:t>
      </w:r>
    </w:p>
    <w:p>
      <w:pPr>
        <w:pStyle w:val="5"/>
        <w:keepNext w:val="0"/>
        <w:keepLines w:val="0"/>
        <w:pageBreakBefore w:val="0"/>
        <w:tabs>
          <w:tab w:val="right" w:leader="dot" w:pos="8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南方科技大学医院全院占地面积2.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万㎡，建筑面积9.7万㎡。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本项目</w:t>
      </w:r>
      <w:r>
        <w:rPr>
          <w:rFonts w:hint="eastAsia" w:ascii="宋体" w:hAnsi="宋体" w:eastAsia="宋体" w:cs="宋体"/>
          <w:sz w:val="21"/>
          <w:szCs w:val="21"/>
        </w:rPr>
        <w:t>位于南方科技大学医院现有场地西南角，用地面积为4347㎡，总建筑面积93887㎡。其中：地上建筑面积85887㎡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主要包含七项设施用房、科研教学用房、值班宿舍、健康体检用房、其他用房等；地下建筑面积8000㎡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主要包括地下停车库和设备用房。具体情况如下表所示：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2866"/>
        <w:gridCol w:w="1592"/>
        <w:gridCol w:w="2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建设规模（㎡）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地上建筑面积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85887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七项基本设施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66297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科研用房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1706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教学用房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2853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夜间值班宿舍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1525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重点实验室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4000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其他用房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9506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避难层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5706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直升停机坪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1000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6.3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风雨连廊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2800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二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地下建筑面积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8000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地下一层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4000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设备用房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地下二层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4000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  <w:lang w:eastAsia="zh-CN"/>
              </w:rPr>
              <w:t>其中：停车用房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2750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1"/>
                <w:lang w:eastAsia="zh-CN"/>
              </w:rPr>
              <w:t>㎡，设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备用房1250㎡。</w:t>
            </w:r>
          </w:p>
        </w:tc>
      </w:tr>
      <w:tr>
        <w:trPr>
          <w:trHeight w:val="322" w:hRule="exac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三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合计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93887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本次南方科技大学医院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二期大楼</w:t>
      </w:r>
      <w:r>
        <w:rPr>
          <w:rFonts w:hint="eastAsia" w:ascii="宋体" w:hAnsi="宋体" w:eastAsia="宋体" w:cs="宋体"/>
          <w:sz w:val="21"/>
          <w:szCs w:val="21"/>
        </w:rPr>
        <w:t>按照新增700床的规模需求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结合医院整体医疗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业务</w:t>
      </w:r>
      <w:r>
        <w:rPr>
          <w:rFonts w:hint="eastAsia" w:ascii="宋体" w:hAnsi="宋体" w:eastAsia="宋体" w:cs="宋体"/>
          <w:sz w:val="21"/>
          <w:szCs w:val="21"/>
        </w:rPr>
        <w:t>功能优化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布局</w:t>
      </w:r>
      <w:r>
        <w:rPr>
          <w:rFonts w:hint="eastAsia" w:ascii="宋体" w:hAnsi="宋体" w:eastAsia="宋体" w:cs="宋体"/>
          <w:sz w:val="21"/>
          <w:szCs w:val="21"/>
        </w:rPr>
        <w:t>进行建设，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</w:t>
      </w:r>
      <w:r>
        <w:rPr>
          <w:rFonts w:hint="eastAsia" w:ascii="宋体" w:hAnsi="宋体" w:eastAsia="宋体" w:cs="宋体"/>
          <w:sz w:val="21"/>
          <w:szCs w:val="21"/>
        </w:rPr>
        <w:t>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南方科技大学医院后续业务发展所需要的</w:t>
      </w:r>
      <w:r>
        <w:rPr>
          <w:rFonts w:hint="eastAsia" w:ascii="宋体" w:hAnsi="宋体" w:eastAsia="宋体" w:cs="宋体"/>
          <w:sz w:val="21"/>
          <w:szCs w:val="21"/>
        </w:rPr>
        <w:t>基础医疗设施需求，扩建后医院总床位数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</w:t>
      </w:r>
      <w:r>
        <w:rPr>
          <w:rFonts w:hint="eastAsia" w:ascii="宋体" w:hAnsi="宋体" w:eastAsia="宋体" w:cs="宋体"/>
          <w:sz w:val="21"/>
          <w:szCs w:val="21"/>
        </w:rPr>
        <w:t>达到1500床。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具体工作内容和要求应包括（但不限于）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供应商需符合</w:t>
      </w:r>
      <w:r>
        <w:rPr>
          <w:rFonts w:hint="eastAsia" w:ascii="宋体" w:hAnsi="宋体" w:eastAsia="宋体" w:cs="宋体"/>
          <w:kern w:val="0"/>
          <w:sz w:val="21"/>
          <w:szCs w:val="21"/>
        </w:rPr>
        <w:t>国家发改委发布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</w:rPr>
        <w:t>《工程咨询行业管理办法》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的规定，按照</w:t>
      </w:r>
      <w:r>
        <w:rPr>
          <w:rFonts w:hint="eastAsia" w:ascii="宋体" w:hAnsi="宋体" w:eastAsia="宋体" w:cs="宋体"/>
          <w:kern w:val="0"/>
          <w:sz w:val="21"/>
          <w:szCs w:val="21"/>
        </w:rPr>
        <w:t>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深圳市政府投资项目开办费技术文件编制指南</w:t>
      </w:r>
      <w:r>
        <w:rPr>
          <w:rFonts w:hint="eastAsia" w:ascii="宋体" w:hAnsi="宋体" w:eastAsia="宋体" w:cs="宋体"/>
          <w:kern w:val="0"/>
          <w:sz w:val="21"/>
          <w:szCs w:val="21"/>
        </w:rPr>
        <w:t>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等相关文件要求</w:t>
      </w:r>
      <w:r>
        <w:rPr>
          <w:rFonts w:hint="eastAsia" w:ascii="宋体" w:hAnsi="宋体" w:eastAsia="宋体" w:cs="宋体"/>
          <w:kern w:val="0"/>
          <w:sz w:val="21"/>
          <w:szCs w:val="21"/>
        </w:rPr>
        <w:t>编制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南科大医院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二期大楼</w:t>
      </w:r>
      <w:r>
        <w:rPr>
          <w:rFonts w:hint="eastAsia" w:ascii="宋体" w:hAnsi="宋体" w:eastAsia="宋体" w:cs="宋体"/>
          <w:kern w:val="0"/>
          <w:sz w:val="21"/>
          <w:szCs w:val="21"/>
        </w:rPr>
        <w:t>开办费技术文件，包括为编制报告而进行的所有调查、踏勘、资料收集、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方案论证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以及协助采购人进行开办费技术文件评审和报批及相关后续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物资进场验收等咨询</w:t>
      </w:r>
      <w:r>
        <w:rPr>
          <w:rFonts w:hint="eastAsia" w:ascii="宋体" w:hAnsi="宋体" w:eastAsia="宋体" w:cs="宋体"/>
          <w:kern w:val="0"/>
          <w:sz w:val="21"/>
          <w:szCs w:val="21"/>
        </w:rPr>
        <w:t>服务工作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按照医院的需求，合理科学确定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开办物资</w:t>
      </w:r>
      <w:r>
        <w:rPr>
          <w:rFonts w:hint="eastAsia" w:ascii="宋体" w:hAnsi="宋体" w:eastAsia="宋体" w:cs="宋体"/>
          <w:sz w:val="21"/>
          <w:szCs w:val="21"/>
        </w:rPr>
        <w:t>购置原则、内容和规模。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</w:rPr>
        <w:t>搜集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开办</w:t>
      </w:r>
      <w:r>
        <w:rPr>
          <w:rFonts w:hint="eastAsia" w:ascii="宋体" w:hAnsi="宋体" w:eastAsia="宋体" w:cs="宋体"/>
          <w:kern w:val="0"/>
          <w:sz w:val="21"/>
          <w:szCs w:val="21"/>
        </w:rPr>
        <w:t>相关资料，分析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开办项目</w:t>
      </w:r>
      <w:r>
        <w:rPr>
          <w:rFonts w:hint="eastAsia" w:ascii="宋体" w:hAnsi="宋体" w:eastAsia="宋体" w:cs="宋体"/>
          <w:kern w:val="0"/>
          <w:sz w:val="21"/>
          <w:szCs w:val="21"/>
        </w:rPr>
        <w:t>相关政策和环境，结合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医院</w:t>
      </w:r>
      <w:r>
        <w:rPr>
          <w:rFonts w:hint="eastAsia" w:ascii="宋体" w:hAnsi="宋体" w:eastAsia="宋体" w:cs="宋体"/>
          <w:kern w:val="0"/>
          <w:sz w:val="21"/>
          <w:szCs w:val="21"/>
        </w:rPr>
        <w:t>未来发展规划，论证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开办</w:t>
      </w:r>
      <w:r>
        <w:rPr>
          <w:rFonts w:hint="eastAsia" w:ascii="宋体" w:hAnsi="宋体" w:eastAsia="宋体" w:cs="宋体"/>
          <w:kern w:val="0"/>
          <w:sz w:val="21"/>
          <w:szCs w:val="21"/>
        </w:rPr>
        <w:t>购置依据、必要性及迫切性。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1"/>
          <w:szCs w:val="21"/>
        </w:rPr>
        <w:t>深入调研，充分掌握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各科室和职能部门的需求</w:t>
      </w:r>
      <w:r>
        <w:rPr>
          <w:rFonts w:hint="eastAsia" w:ascii="宋体" w:hAnsi="宋体" w:eastAsia="宋体" w:cs="宋体"/>
          <w:kern w:val="0"/>
          <w:sz w:val="21"/>
          <w:szCs w:val="21"/>
        </w:rPr>
        <w:t>，发掘其存在的问题和潜在需求，明确其对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开办物资</w:t>
      </w:r>
      <w:r>
        <w:rPr>
          <w:rFonts w:hint="eastAsia" w:ascii="宋体" w:hAnsi="宋体" w:eastAsia="宋体" w:cs="宋体"/>
          <w:kern w:val="0"/>
          <w:sz w:val="21"/>
          <w:szCs w:val="21"/>
        </w:rPr>
        <w:t>的功能、规模、服务等各方面的需求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合理划分与医院其它在建项目的建设界面，确保科室需求不漏建，同时避免重复建设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确定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开办物资</w:t>
      </w:r>
      <w:r>
        <w:rPr>
          <w:rFonts w:hint="eastAsia" w:ascii="宋体" w:hAnsi="宋体" w:eastAsia="宋体" w:cs="宋体"/>
          <w:sz w:val="21"/>
          <w:szCs w:val="21"/>
        </w:rPr>
        <w:t>购置清单，包含名称、数量、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尺寸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单价、总价、配置要求、产地、产品报价等。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按照院方流程及政府审批流程，组织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对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开办费概算编制项目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进行论证，确保设备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配置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的合理性、先进性、可行性。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1"/>
          <w:szCs w:val="21"/>
        </w:rPr>
        <w:t>合理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编制</w:t>
      </w:r>
      <w:r>
        <w:rPr>
          <w:rFonts w:hint="eastAsia" w:ascii="宋体" w:hAnsi="宋体" w:eastAsia="宋体" w:cs="宋体"/>
          <w:kern w:val="0"/>
          <w:sz w:val="21"/>
          <w:szCs w:val="21"/>
        </w:rPr>
        <w:t>本项目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资金</w:t>
      </w:r>
      <w:r>
        <w:rPr>
          <w:rFonts w:hint="eastAsia" w:ascii="宋体" w:hAnsi="宋体" w:eastAsia="宋体" w:cs="宋体"/>
          <w:kern w:val="0"/>
          <w:sz w:val="21"/>
          <w:szCs w:val="21"/>
        </w:rPr>
        <w:t>概算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kern w:val="0"/>
          <w:sz w:val="21"/>
          <w:szCs w:val="21"/>
        </w:rPr>
        <w:t>运用方案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7.跟进指导阶段：在确定供货单位后协助甲方跟进物资进场、答疑、指导，同时参与安装过程的主要节点样品成果确认及验收。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1"/>
          <w:szCs w:val="21"/>
        </w:rPr>
        <w:t>其他与开办技术文件编制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及服务</w:t>
      </w:r>
      <w:r>
        <w:rPr>
          <w:rFonts w:hint="eastAsia" w:ascii="宋体" w:hAnsi="宋体" w:eastAsia="宋体" w:cs="宋体"/>
          <w:kern w:val="0"/>
          <w:sz w:val="21"/>
          <w:szCs w:val="21"/>
        </w:rPr>
        <w:t>直接有关的事项。</w:t>
      </w:r>
    </w:p>
    <w:p>
      <w:pPr>
        <w:rPr>
          <w:sz w:val="18"/>
          <w:szCs w:val="20"/>
        </w:rPr>
      </w:pPr>
    </w:p>
    <w:p>
      <w:pPr>
        <w:rPr>
          <w:sz w:val="18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NjRkYmViMDRhZTVkMDA4ZDM2ZjUyYmRiYzEzZWYifQ=="/>
    <w:docVar w:name="KSO_WPS_MARK_KEY" w:val="c101fb50-366e-47e5-a034-a1aa518ff424"/>
  </w:docVars>
  <w:rsids>
    <w:rsidRoot w:val="281B2311"/>
    <w:rsid w:val="02C65882"/>
    <w:rsid w:val="05A82C80"/>
    <w:rsid w:val="05F15968"/>
    <w:rsid w:val="19F228AE"/>
    <w:rsid w:val="1D39130F"/>
    <w:rsid w:val="1D722258"/>
    <w:rsid w:val="1E6201E9"/>
    <w:rsid w:val="1F07384B"/>
    <w:rsid w:val="281B2311"/>
    <w:rsid w:val="2CBA6DF3"/>
    <w:rsid w:val="5CAE0A45"/>
    <w:rsid w:val="62F13D51"/>
    <w:rsid w:val="69036F9F"/>
    <w:rsid w:val="6F086931"/>
    <w:rsid w:val="760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3">
    <w:name w:val="Title"/>
    <w:basedOn w:val="1"/>
    <w:next w:val="1"/>
    <w:qFormat/>
    <w:uiPriority w:val="10"/>
    <w:pPr>
      <w:spacing w:line="360" w:lineRule="auto"/>
      <w:jc w:val="center"/>
    </w:pPr>
    <w:rPr>
      <w:rFonts w:ascii="Calibri Light" w:hAnsi="Calibri Light" w:eastAsia="黑体" w:cs="Times New Roman"/>
      <w:b/>
      <w:bCs/>
      <w:sz w:val="72"/>
      <w:szCs w:val="32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表头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ascii="宋体" w:hAnsi="宋体"/>
      <w:b/>
      <w:bCs/>
      <w:color w:val="000000"/>
      <w:kern w:val="0"/>
      <w:sz w:val="21"/>
      <w:szCs w:val="21"/>
      <w:lang w:eastAsia="en-US"/>
    </w:rPr>
  </w:style>
  <w:style w:type="paragraph" w:customStyle="1" w:styleId="10">
    <w:name w:val="表格文字"/>
    <w:basedOn w:val="1"/>
    <w:qFormat/>
    <w:uiPriority w:val="0"/>
    <w:rPr>
      <w:bCs/>
      <w:spacing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1011</Words>
  <Characters>1099</Characters>
  <Lines>0</Lines>
  <Paragraphs>0</Paragraphs>
  <TotalTime>10</TotalTime>
  <ScaleCrop>false</ScaleCrop>
  <LinksUpToDate>false</LinksUpToDate>
  <CharactersWithSpaces>1099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— 清青清青清 _</cp:lastModifiedBy>
  <dcterms:modified xsi:type="dcterms:W3CDTF">2024-01-09T00:14:17Z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13DAEABDE9F643B98323706F74FA7B3C_13</vt:lpwstr>
  </property>
</Properties>
</file>