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分项报价请附后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val="en-US" w:eastAsia="zh-CN"/>
        </w:rPr>
        <w:t>表格内容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numPr>
          <w:ilvl w:val="0"/>
          <w:numId w:val="1"/>
        </w:numPr>
        <w:ind w:left="63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01ECC"/>
    <w:multiLevelType w:val="singleLevel"/>
    <w:tmpl w:val="A9601EC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mQ5NWVhNTJiNjQxYjNiNWIzY2NhNjU1MGQ4YmQifQ=="/>
  </w:docVars>
  <w:rsids>
    <w:rsidRoot w:val="281B2311"/>
    <w:rsid w:val="02C65882"/>
    <w:rsid w:val="05A82C80"/>
    <w:rsid w:val="05F15968"/>
    <w:rsid w:val="161F25B6"/>
    <w:rsid w:val="19F228AE"/>
    <w:rsid w:val="1D39130F"/>
    <w:rsid w:val="1E6201E9"/>
    <w:rsid w:val="1F07384B"/>
    <w:rsid w:val="281B2311"/>
    <w:rsid w:val="2CBA6DF3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7</TotalTime>
  <ScaleCrop>false</ScaleCrop>
  <LinksUpToDate>false</LinksUpToDate>
  <CharactersWithSpaces>232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2023-07-11T12:53:16Z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CE6C2EBE839B49EC8C23CC0E4AB6E535</vt:lpwstr>
  </property>
</Properties>
</file>