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36"/>
          <w:lang w:val="en-US" w:eastAsia="zh-CN"/>
        </w:rPr>
      </w:pPr>
      <w:r>
        <w:rPr>
          <w:rFonts w:hint="eastAsia" w:ascii="宋体" w:hAnsi="宋体" w:eastAsia="宋体" w:cs="宋体"/>
          <w:b/>
          <w:sz w:val="36"/>
          <w:lang w:val="en-US" w:eastAsia="zh-CN"/>
        </w:rPr>
        <w:t>数据安全管理平台及系统高可用加固项目</w:t>
      </w:r>
    </w:p>
    <w:p>
      <w:pPr>
        <w:spacing w:line="360" w:lineRule="auto"/>
        <w:jc w:val="center"/>
        <w:rPr>
          <w:rFonts w:hint="eastAsia" w:ascii="宋体" w:hAnsi="宋体" w:eastAsia="宋体" w:cs="宋体"/>
          <w:b/>
          <w:sz w:val="36"/>
        </w:rPr>
      </w:pPr>
      <w:r>
        <w:rPr>
          <w:rFonts w:hint="eastAsia" w:ascii="宋体" w:hAnsi="宋体" w:eastAsia="宋体" w:cs="宋体"/>
          <w:b/>
          <w:sz w:val="36"/>
        </w:rPr>
        <w:t>用户需求书</w:t>
      </w:r>
    </w:p>
    <w:p>
      <w:pPr>
        <w:pStyle w:val="3"/>
        <w:numPr>
          <w:ilvl w:val="0"/>
          <w:numId w:val="2"/>
        </w:numPr>
        <w:spacing w:line="360" w:lineRule="auto"/>
        <w:rPr>
          <w:rFonts w:hint="eastAsia" w:ascii="宋体" w:hAnsi="宋体" w:eastAsia="宋体" w:cs="宋体"/>
          <w:sz w:val="28"/>
        </w:rPr>
      </w:pPr>
      <w:r>
        <w:rPr>
          <w:rFonts w:hint="eastAsia" w:ascii="宋体" w:hAnsi="宋体" w:eastAsia="宋体" w:cs="宋体"/>
          <w:color w:val="000000"/>
        </w:rPr>
        <w:t>项目背景</w:t>
      </w:r>
      <w:bookmarkStart w:id="0" w:name="_GoBack"/>
      <w:bookmarkEnd w:id="0"/>
    </w:p>
    <w:p>
      <w:pPr>
        <w:pStyle w:val="31"/>
        <w:numPr>
          <w:ilvl w:val="0"/>
          <w:numId w:val="0"/>
        </w:num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医疗业务的微服务化、数据服务化趋势下，API承载了医院医疗应用各组件间高密度高价值数据流动，成为数据交互最重要的传输方式之一，但由于发展过快，业务优先，导致无法对API进行安全的开发和有效治理管理。医院对于API资产的可见性，以及威胁发现能力，漏洞、脆弱性难以看清；对于活动的医疗敏感数据也缺乏管控。国家</w:t>
      </w:r>
      <w:r>
        <w:rPr>
          <w:rFonts w:hint="default" w:ascii="宋体" w:hAnsi="宋体" w:eastAsia="宋体" w:cs="宋体"/>
          <w:sz w:val="21"/>
          <w:szCs w:val="21"/>
          <w:lang w:val="en-US" w:eastAsia="zh-CN"/>
        </w:rPr>
        <w:t>卫健委相继出台</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数据安全相关指南和管理办法</w:t>
      </w:r>
      <w:r>
        <w:rPr>
          <w:rFonts w:hint="eastAsia" w:ascii="宋体" w:hAnsi="宋体" w:eastAsia="宋体" w:cs="宋体"/>
          <w:sz w:val="21"/>
          <w:szCs w:val="21"/>
          <w:lang w:val="en-US" w:eastAsia="zh-CN"/>
        </w:rPr>
        <w:t>中</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明确提出了对API资产监测的要求</w:t>
      </w:r>
      <w:r>
        <w:rPr>
          <w:rFonts w:hint="default" w:ascii="宋体" w:hAnsi="宋体" w:eastAsia="宋体" w:cs="宋体"/>
          <w:sz w:val="21"/>
          <w:szCs w:val="21"/>
          <w:lang w:val="en-US" w:eastAsia="zh-CN"/>
        </w:rPr>
        <w:t>。</w:t>
      </w:r>
    </w:p>
    <w:p>
      <w:pPr>
        <w:pStyle w:val="31"/>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医院业务的迅速发展以及所承载业务的多样化，为了解决单台服务器的处理性能瓶颈及单点故障问题，通过部署负载均衡设备，针对不同的业务类型，采用不同的调度算法，使流量处理逻辑更加贴合业务需求，防止服务器资源严重消耗并提高业务系统的高可用性。</w:t>
      </w:r>
    </w:p>
    <w:p>
      <w:pPr>
        <w:pStyle w:val="31"/>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院的业务系统集中部署在超融合平台上，一旦发生意外事故导致数据丢失，则有可能直接导致医院遭受难以逆转的损害。对指定虚拟机开启实时CDP保护，通过IO镜像方式跟踪记录虚拟机IO变更情况，当虚拟机数据丢失或故障时，可使用备份的任意历史时间点进行恢复（RPO≈0，RTO&lt;5min），从而大大降低风险。</w:t>
      </w:r>
    </w:p>
    <w:p>
      <w:pPr>
        <w:pStyle w:val="3"/>
        <w:numPr>
          <w:ilvl w:val="0"/>
          <w:numId w:val="2"/>
        </w:numPr>
        <w:spacing w:line="360" w:lineRule="auto"/>
        <w:rPr>
          <w:rFonts w:hint="eastAsia" w:ascii="宋体" w:hAnsi="宋体" w:eastAsia="宋体" w:cs="宋体"/>
          <w:sz w:val="28"/>
        </w:rPr>
      </w:pPr>
      <w:r>
        <w:rPr>
          <w:rFonts w:hint="eastAsia" w:ascii="宋体" w:hAnsi="宋体" w:eastAsia="宋体" w:cs="宋体"/>
          <w:sz w:val="28"/>
        </w:rPr>
        <w:t>项目建设清单</w:t>
      </w:r>
    </w:p>
    <w:p>
      <w:pPr>
        <w:spacing w:line="360" w:lineRule="auto"/>
        <w:rPr>
          <w:rFonts w:hint="eastAsia" w:ascii="宋体" w:hAnsi="宋体" w:eastAsia="宋体" w:cs="宋体"/>
        </w:rPr>
      </w:pPr>
    </w:p>
    <w:tbl>
      <w:tblPr>
        <w:tblStyle w:val="14"/>
        <w:tblW w:w="535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121"/>
        <w:gridCol w:w="6092"/>
        <w:gridCol w:w="606"/>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83" w:type="pct"/>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序号</w:t>
            </w:r>
          </w:p>
        </w:tc>
        <w:tc>
          <w:tcPr>
            <w:tcW w:w="614" w:type="pct"/>
            <w:vAlign w:val="center"/>
          </w:tcPr>
          <w:p>
            <w:pPr>
              <w:widowControl/>
              <w:spacing w:line="360" w:lineRule="auto"/>
              <w:jc w:val="center"/>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产品</w:t>
            </w:r>
          </w:p>
        </w:tc>
        <w:tc>
          <w:tcPr>
            <w:tcW w:w="3338" w:type="pct"/>
            <w:shd w:val="clear" w:color="auto" w:fill="auto"/>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详细技术要求</w:t>
            </w:r>
          </w:p>
        </w:tc>
        <w:tc>
          <w:tcPr>
            <w:tcW w:w="332" w:type="pct"/>
            <w:shd w:val="clear" w:color="auto" w:fill="auto"/>
            <w:vAlign w:val="center"/>
          </w:tcPr>
          <w:p>
            <w:pPr>
              <w:widowControl/>
              <w:spacing w:line="360" w:lineRule="auto"/>
              <w:jc w:val="center"/>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数量</w:t>
            </w:r>
          </w:p>
        </w:tc>
        <w:tc>
          <w:tcPr>
            <w:tcW w:w="332" w:type="pct"/>
            <w:shd w:val="clear" w:color="auto" w:fill="auto"/>
            <w:vAlign w:val="center"/>
          </w:tcPr>
          <w:p>
            <w:pPr>
              <w:widowControl/>
              <w:spacing w:line="360" w:lineRule="auto"/>
              <w:jc w:val="center"/>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83" w:type="pct"/>
            <w:vMerge w:val="restart"/>
            <w:vAlign w:val="center"/>
          </w:tcPr>
          <w:p>
            <w:pPr>
              <w:widowControl/>
              <w:spacing w:line="360" w:lineRule="auto"/>
              <w:jc w:val="left"/>
              <w:rPr>
                <w:rFonts w:hint="eastAsia" w:ascii="宋体" w:hAnsi="宋体" w:eastAsia="宋体" w:cs="宋体"/>
                <w:lang w:val="en-US" w:eastAsia="zh-CN"/>
              </w:rPr>
            </w:pPr>
            <w:r>
              <w:rPr>
                <w:rFonts w:hint="eastAsia" w:ascii="宋体" w:hAnsi="宋体" w:eastAsia="宋体" w:cs="宋体"/>
                <w:lang w:val="en-US" w:eastAsia="zh-CN"/>
              </w:rPr>
              <w:t>1</w:t>
            </w:r>
          </w:p>
        </w:tc>
        <w:tc>
          <w:tcPr>
            <w:tcW w:w="614" w:type="pct"/>
            <w:vMerge w:val="restart"/>
            <w:vAlign w:val="center"/>
          </w:tcPr>
          <w:p>
            <w:pPr>
              <w:widowControl/>
              <w:spacing w:line="360" w:lineRule="auto"/>
              <w:jc w:val="left"/>
              <w:rPr>
                <w:rFonts w:hint="default" w:ascii="宋体" w:hAnsi="宋体" w:eastAsia="宋体" w:cs="宋体"/>
                <w:lang w:val="en-US" w:eastAsia="zh-CN"/>
              </w:rPr>
            </w:pPr>
            <w:r>
              <w:rPr>
                <w:rFonts w:hint="eastAsia" w:ascii="宋体" w:hAnsi="宋体" w:eastAsia="宋体" w:cs="宋体"/>
                <w:lang w:val="en-US" w:eastAsia="zh-CN"/>
              </w:rPr>
              <w:t>数据安全管理平台</w:t>
            </w:r>
          </w:p>
        </w:tc>
        <w:tc>
          <w:tcPr>
            <w:tcW w:w="3338" w:type="pct"/>
            <w:vAlign w:val="center"/>
          </w:tcPr>
          <w:p>
            <w:pPr>
              <w:widowControl/>
              <w:spacing w:line="360" w:lineRule="auto"/>
              <w:jc w:val="left"/>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1、数据安全</w:t>
            </w:r>
            <w:r>
              <w:rPr>
                <w:rFonts w:hint="eastAsia" w:ascii="宋体" w:hAnsi="宋体" w:eastAsia="宋体" w:cs="宋体"/>
                <w:b/>
                <w:bCs/>
                <w:sz w:val="22"/>
                <w:szCs w:val="22"/>
              </w:rPr>
              <w:t>管理</w:t>
            </w:r>
            <w:r>
              <w:rPr>
                <w:rFonts w:hint="eastAsia" w:ascii="宋体" w:hAnsi="宋体" w:eastAsia="宋体" w:cs="宋体"/>
                <w:b/>
                <w:bCs/>
                <w:sz w:val="22"/>
                <w:szCs w:val="22"/>
                <w:lang w:val="en-US" w:eastAsia="zh-CN"/>
              </w:rPr>
              <w:t>系统</w:t>
            </w:r>
          </w:p>
        </w:tc>
        <w:tc>
          <w:tcPr>
            <w:tcW w:w="332" w:type="pct"/>
            <w:vMerge w:val="restart"/>
            <w:shd w:val="clear" w:color="auto" w:fill="auto"/>
            <w:vAlign w:val="center"/>
          </w:tcPr>
          <w:p>
            <w:pPr>
              <w:widowControl/>
              <w:spacing w:line="36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332" w:type="pct"/>
            <w:vMerge w:val="restart"/>
            <w:shd w:val="clear" w:color="auto" w:fill="auto"/>
            <w:vAlign w:val="center"/>
          </w:tcPr>
          <w:p>
            <w:pPr>
              <w:widowControl/>
              <w:spacing w:line="360" w:lineRule="auto"/>
              <w:jc w:val="lef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83" w:type="pct"/>
            <w:vMerge w:val="continue"/>
            <w:vAlign w:val="center"/>
          </w:tcPr>
          <w:p>
            <w:pPr>
              <w:widowControl/>
              <w:spacing w:line="360" w:lineRule="auto"/>
              <w:jc w:val="center"/>
              <w:rPr>
                <w:rFonts w:hint="eastAsia" w:ascii="宋体" w:hAnsi="宋体" w:eastAsia="宋体" w:cs="宋体"/>
                <w:b/>
                <w:color w:val="000000"/>
                <w:kern w:val="0"/>
                <w:sz w:val="24"/>
                <w:szCs w:val="24"/>
                <w:lang w:val="en-US" w:eastAsia="zh-CN"/>
              </w:rPr>
            </w:pPr>
          </w:p>
        </w:tc>
        <w:tc>
          <w:tcPr>
            <w:tcW w:w="614" w:type="pct"/>
            <w:vMerge w:val="continue"/>
            <w:vAlign w:val="center"/>
          </w:tcPr>
          <w:p>
            <w:pPr>
              <w:widowControl/>
              <w:spacing w:line="360" w:lineRule="auto"/>
              <w:rPr>
                <w:rFonts w:hint="eastAsia" w:ascii="宋体" w:hAnsi="宋体" w:eastAsia="宋体" w:cs="宋体"/>
                <w:sz w:val="22"/>
                <w:szCs w:val="22"/>
              </w:rPr>
            </w:pPr>
          </w:p>
        </w:tc>
        <w:tc>
          <w:tcPr>
            <w:tcW w:w="3338" w:type="pct"/>
            <w:vAlign w:val="center"/>
          </w:tcPr>
          <w:p>
            <w:pPr>
              <w:pStyle w:val="11"/>
              <w:numPr>
                <w:ilvl w:val="0"/>
                <w:numId w:val="0"/>
              </w:numPr>
              <w:spacing w:line="360" w:lineRule="auto"/>
              <w:ind w:leftChars="0"/>
              <w:rPr>
                <w:rFonts w:hint="eastAsia" w:ascii="宋体" w:hAnsi="宋体" w:eastAsia="宋体" w:cs="宋体"/>
              </w:rPr>
            </w:pPr>
            <w:r>
              <w:rPr>
                <w:rFonts w:hint="eastAsia" w:ascii="宋体" w:hAnsi="宋体" w:eastAsia="宋体" w:cs="宋体"/>
                <w:lang w:val="en-US" w:eastAsia="zh-CN"/>
              </w:rPr>
              <w:t>（1）首页支持数据库资产和应用API资产的总览，能够掌握当前数据库、数据表、字段数量以及应用、API、涉敏应用和API的数量；针对数据库的资产管理，能够统计数据分类分级以及打标情况，针对应用/API的资产管理，能够掌握API数据接口脆弱性和访问风险的分布情况；</w:t>
            </w:r>
          </w:p>
          <w:p>
            <w:pPr>
              <w:pStyle w:val="11"/>
              <w:numPr>
                <w:ilvl w:val="0"/>
                <w:numId w:val="0"/>
              </w:numPr>
              <w:spacing w:line="360" w:lineRule="auto"/>
              <w:ind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2）设备对接管理：支持统一管理接入的设备，能够新增、删除或编辑已接入的设备，通过设备管理列表能够查看设备名称、设备类型、运行状态、认证token、设备状态和最近同步的时间；平台支持一次性对接多种设备类型，包括数据库审计、数据安全大脑探针等，进行统一的日志上报和流转分析；支持通过设备详情查看对接的IP、端口、CPU和内存占用情况、流速、设备状态和最近同步时间，并支持编辑下发对接配置信息，满足日常运维需求。</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探针管理：支持使用探针的方式采集流量到平台上，探针支持CentOS、Redhat6.5以上等操作系统，在平台上可直观看到已接入探针的整体运行情况，包括IP地址、资源占用、流速、监听端口、设备状态等，以便于进行探针的接入管理；支持在agent上指定网口、端口回传流量，避免影响数据库业务。</w:t>
            </w:r>
          </w:p>
          <w:p>
            <w:pPr>
              <w:pStyle w:val="11"/>
              <w:spacing w:line="360" w:lineRule="auto"/>
              <w:ind w:left="0" w:leftChars="0" w:firstLine="0" w:firstLineChars="0"/>
              <w:rPr>
                <w:rFonts w:hint="eastAsia" w:ascii="宋体" w:hAnsi="宋体" w:eastAsia="宋体" w:cs="宋体"/>
                <w:b/>
                <w:color w:val="000000"/>
                <w:kern w:val="0"/>
                <w:sz w:val="24"/>
                <w:szCs w:val="24"/>
                <w:lang w:val="en-US"/>
              </w:rPr>
            </w:pPr>
            <w:r>
              <w:rPr>
                <w:rFonts w:hint="eastAsia" w:ascii="宋体" w:hAnsi="宋体" w:eastAsia="宋体" w:cs="宋体"/>
                <w:color w:val="auto"/>
                <w:lang w:eastAsia="zh-CN"/>
              </w:rPr>
              <w:t>（</w:t>
            </w:r>
            <w:r>
              <w:rPr>
                <w:rFonts w:hint="eastAsia" w:ascii="宋体" w:hAnsi="宋体" w:eastAsia="宋体" w:cs="宋体"/>
                <w:color w:val="auto"/>
                <w:lang w:val="en-US" w:eastAsia="zh-CN"/>
              </w:rPr>
              <w:t>4</w:t>
            </w:r>
            <w:r>
              <w:rPr>
                <w:rFonts w:hint="eastAsia" w:ascii="宋体" w:hAnsi="宋体" w:eastAsia="宋体" w:cs="宋体"/>
                <w:color w:val="auto"/>
                <w:lang w:eastAsia="zh-CN"/>
              </w:rPr>
              <w:t>）管理员账号管理：支持三权分立，提供系统管理员、安全管理员、审计员三个角色账户</w:t>
            </w:r>
            <w:r>
              <w:rPr>
                <w:rFonts w:hint="eastAsia" w:ascii="宋体" w:hAnsi="宋体" w:eastAsia="宋体" w:cs="宋体"/>
                <w:color w:val="auto"/>
                <w:lang w:val="en-US" w:eastAsia="zh-CN"/>
              </w:rPr>
              <w:t>；</w:t>
            </w:r>
            <w:r>
              <w:rPr>
                <w:rFonts w:hint="eastAsia" w:ascii="宋体" w:hAnsi="宋体" w:eastAsia="宋体" w:cs="宋体"/>
                <w:color w:val="auto"/>
                <w:lang w:eastAsia="zh-CN"/>
              </w:rPr>
              <w:t>支持设置管理员账号允许登录的IP范围，支持设置管理员账号登录允许尝试次数可配和长时间未操作自动退出，并支持管理员用户设置密码使用天数限制，超过指定天数进行强制修改密码，提升系统登录的安全性。</w:t>
            </w: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383" w:type="pct"/>
            <w:vMerge w:val="continue"/>
            <w:vAlign w:val="center"/>
          </w:tcPr>
          <w:p>
            <w:pPr>
              <w:widowControl/>
              <w:spacing w:line="360" w:lineRule="auto"/>
              <w:jc w:val="center"/>
              <w:rPr>
                <w:rFonts w:hint="eastAsia" w:ascii="宋体" w:hAnsi="宋体" w:eastAsia="宋体" w:cs="宋体"/>
                <w:b/>
                <w:color w:val="000000"/>
                <w:kern w:val="0"/>
                <w:sz w:val="24"/>
                <w:szCs w:val="24"/>
                <w:lang w:val="en-US" w:eastAsia="zh-CN"/>
              </w:rPr>
            </w:pPr>
          </w:p>
        </w:tc>
        <w:tc>
          <w:tcPr>
            <w:tcW w:w="614" w:type="pct"/>
            <w:vMerge w:val="continue"/>
            <w:vAlign w:val="center"/>
          </w:tcPr>
          <w:p>
            <w:pPr>
              <w:widowControl/>
              <w:spacing w:line="360" w:lineRule="auto"/>
              <w:rPr>
                <w:rFonts w:hint="eastAsia" w:ascii="宋体" w:hAnsi="宋体" w:eastAsia="宋体" w:cs="宋体"/>
                <w:sz w:val="22"/>
                <w:szCs w:val="22"/>
              </w:rPr>
            </w:pPr>
          </w:p>
        </w:tc>
        <w:tc>
          <w:tcPr>
            <w:tcW w:w="3338" w:type="pct"/>
            <w:vAlign w:val="center"/>
          </w:tcPr>
          <w:p>
            <w:pPr>
              <w:widowControl/>
              <w:spacing w:line="360" w:lineRule="auto"/>
              <w:jc w:val="left"/>
              <w:rPr>
                <w:rFonts w:hint="eastAsia" w:ascii="宋体" w:hAnsi="宋体" w:eastAsia="宋体" w:cs="宋体"/>
                <w:b/>
                <w:color w:val="000000"/>
                <w:kern w:val="0"/>
                <w:sz w:val="24"/>
                <w:szCs w:val="24"/>
                <w:lang w:val="en-US" w:eastAsia="zh-CN"/>
              </w:rPr>
            </w:pP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API风险监测预警</w:t>
            </w:r>
            <w:r>
              <w:rPr>
                <w:rFonts w:hint="eastAsia" w:ascii="宋体" w:hAnsi="宋体" w:eastAsia="宋体" w:cs="宋体"/>
                <w:b/>
                <w:bCs/>
                <w:sz w:val="22"/>
                <w:szCs w:val="22"/>
                <w:lang w:val="en-US" w:eastAsia="zh-CN"/>
              </w:rPr>
              <w:t>模块</w:t>
            </w: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3" w:type="pct"/>
            <w:vMerge w:val="continue"/>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614" w:type="pct"/>
            <w:vMerge w:val="continue"/>
            <w:vAlign w:val="center"/>
          </w:tcPr>
          <w:p>
            <w:pPr>
              <w:widowControl/>
              <w:spacing w:line="360" w:lineRule="auto"/>
              <w:rPr>
                <w:rFonts w:hint="eastAsia" w:ascii="宋体" w:hAnsi="宋体" w:eastAsia="宋体" w:cs="宋体"/>
                <w:color w:val="000000"/>
                <w:kern w:val="0"/>
                <w:sz w:val="22"/>
                <w:szCs w:val="22"/>
              </w:rPr>
            </w:pPr>
          </w:p>
        </w:tc>
        <w:tc>
          <w:tcPr>
            <w:tcW w:w="3338" w:type="pct"/>
            <w:shd w:val="clear" w:color="auto" w:fill="auto"/>
            <w:vAlign w:val="center"/>
          </w:tcPr>
          <w:p>
            <w:pPr>
              <w:widowControl/>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（1）系统以数据为中心，着眼API接口，对敏感数据进行多重防护，有效应对数据泄露、黑客入侵、接口滥用等风险。包含：用户管理、防护管理、水印管理、访问控制等功能；</w:t>
            </w:r>
          </w:p>
          <w:p>
            <w:pPr>
              <w:widowControl/>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（2）支持流量解析方式来发现应用是否涉敏，实现应用、接口、敏感数据关联关系的自动梳理，统计应用的域名、地址、关联的API、敏感数据类型等，并通过标识应用等级来区分需要重点关注的应用资产列表。</w:t>
            </w:r>
          </w:p>
          <w:p>
            <w:pPr>
              <w:widowControl/>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3）支持安全事件，基于基础风险告警进行关联聚合，结合常见的API数据泄漏事件场景，对api、风险主体、脆弱性等维度的关联，构建API攻击行为画像，形成场景化的安全事件，包括：参数遍历获取大量敏感数据、异常时间段频繁访问获取大量敏感数据、发生探测攻击并通过频繁访问获取敏感数据等，降低风险告警分析成本。</w:t>
            </w:r>
          </w:p>
          <w:p>
            <w:pPr>
              <w:widowControl/>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（4）产品能够识别主流的接口脆弱性风险，支持OWASP TOP10风险识别，内置脆弱性规则条数不少于70种，包括失效的对象级授权、失效的用户身份认证、过度数据暴露、缺少资源/速率限制、失效的功能级授权、批量分配、安全配置错误、注入、资产管理不当等脆弱性规则；授权管理员可选择配置脆弱性等级和应用范围，设置排除API的白名单，限制检测范围。</w:t>
            </w:r>
          </w:p>
          <w:p>
            <w:pPr>
              <w:widowControl/>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5）能够基于UEBA行为识别技术，识别接口异常行为风险，内置数十种API异常行为风险检测模型，包括：账号多地多IP访问、境内外访问、敏感数据异常暴露、参数名缺失、高频访问API、参数值异常、参数值遍历、请求方法异常、访问码异常等风险规则，构建接口访问行为基线。</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支持自定义风险规则，能够基于风险等级、风险主体、访问API、检测周期、返回数据类型、请求方法等进行条件组合，生成新的安全基线，并支持基于基础风险组合生成高级风险，满足不同场景下的风险检测要求。</w:t>
            </w:r>
          </w:p>
          <w:p>
            <w:pPr>
              <w:spacing w:line="360" w:lineRule="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7</w:t>
            </w:r>
            <w:r>
              <w:rPr>
                <w:rFonts w:hint="eastAsia" w:ascii="宋体" w:hAnsi="宋体" w:eastAsia="宋体" w:cs="宋体"/>
                <w:color w:val="auto"/>
                <w:lang w:eastAsia="zh-CN"/>
              </w:rPr>
              <w:t>）</w:t>
            </w:r>
            <w:r>
              <w:rPr>
                <w:rFonts w:hint="eastAsia" w:ascii="宋体" w:hAnsi="宋体" w:eastAsia="宋体" w:cs="宋体"/>
                <w:color w:val="auto"/>
              </w:rPr>
              <w:t>支持编辑风险策略，选择指定风险等级，设置风险过滤条件，包括：基于应用、API分组设置访问API、IP属性（境内IP、境外IP）、检测周期、告警条件、排除账号的设置，以便于进行风险策略调优，优化风险模型。</w:t>
            </w:r>
          </w:p>
          <w:p>
            <w:pPr>
              <w:spacing w:line="360" w:lineRule="auto"/>
              <w:rPr>
                <w:rFonts w:hint="eastAsia" w:ascii="宋体" w:hAnsi="宋体" w:eastAsia="宋体" w:cs="宋体"/>
                <w:color w:val="auto"/>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8</w:t>
            </w:r>
            <w:r>
              <w:rPr>
                <w:rFonts w:hint="eastAsia" w:ascii="宋体" w:hAnsi="宋体" w:eastAsia="宋体" w:cs="宋体"/>
                <w:color w:val="auto"/>
                <w:lang w:eastAsia="zh-CN"/>
              </w:rPr>
              <w:t>）</w:t>
            </w:r>
            <w:r>
              <w:rPr>
                <w:rFonts w:hint="eastAsia" w:ascii="宋体" w:hAnsi="宋体" w:eastAsia="宋体" w:cs="宋体"/>
                <w:color w:val="auto"/>
              </w:rPr>
              <w:t>支持场景化的安全事件规则，基于实战攻防经验进行风险告警关联聚合，来提升告警检出的精准率；授权管理员可自定义安全事件等级，安全事件策略模型包括：频繁访问获取大量敏感数据、异常时间段频繁访问获取大量敏感数据、发生探测攻击并通过频繁访问获取过量敏感数据、API接口遭遇渗透攻击等。</w:t>
            </w:r>
          </w:p>
          <w:p>
            <w:pPr>
              <w:spacing w:line="360" w:lineRule="auto"/>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9</w:t>
            </w:r>
            <w:r>
              <w:rPr>
                <w:rFonts w:hint="eastAsia" w:ascii="宋体" w:hAnsi="宋体" w:eastAsia="宋体" w:cs="宋体"/>
                <w:color w:val="auto"/>
                <w:lang w:eastAsia="zh-CN"/>
              </w:rPr>
              <w:t>）</w:t>
            </w:r>
            <w:r>
              <w:rPr>
                <w:rFonts w:hint="eastAsia" w:ascii="宋体" w:hAnsi="宋体" w:eastAsia="宋体" w:cs="宋体"/>
                <w:color w:val="auto"/>
              </w:rPr>
              <w:t>支持针对风险策略独立配置风险白名单，可选择指定的加白对象、风险名称、加白API、加白时长，进行检出范围的风险排除。</w:t>
            </w:r>
          </w:p>
          <w:p>
            <w:pPr>
              <w:spacing w:line="360" w:lineRule="auto"/>
              <w:rPr>
                <w:rFonts w:hint="eastAsia" w:ascii="宋体" w:hAnsi="宋体" w:eastAsia="宋体" w:cs="宋体"/>
                <w:lang w:val="en-US"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10</w:t>
            </w:r>
            <w:r>
              <w:rPr>
                <w:rFonts w:hint="eastAsia" w:ascii="宋体" w:hAnsi="宋体" w:eastAsia="宋体" w:cs="宋体"/>
                <w:color w:val="auto"/>
                <w:lang w:eastAsia="zh-CN"/>
              </w:rPr>
              <w:t>）</w:t>
            </w:r>
            <w:r>
              <w:rPr>
                <w:rFonts w:hint="eastAsia" w:ascii="宋体" w:hAnsi="宋体" w:eastAsia="宋体" w:cs="宋体"/>
                <w:color w:val="auto"/>
              </w:rPr>
              <w:t>支持脆弱性告警，包括脆弱性等级占比的统计、脆弱性事件top10、脆弱性应用top5的展示，脆弱性告警列表可展示脆弱性名称、等级、关联的脆弱性API、所属应用、脆弱性类型、发生时间以及处理状态等，可下钻查看详细的脆弱性描述以及相关处置建议，进行脆弱性风险分析</w:t>
            </w:r>
            <w:r>
              <w:rPr>
                <w:rFonts w:hint="eastAsia" w:ascii="宋体" w:hAnsi="宋体" w:eastAsia="宋体" w:cs="宋体"/>
                <w:color w:val="auto"/>
                <w:lang w:val="en-US" w:eastAsia="zh-CN"/>
              </w:rPr>
              <w:t>；</w:t>
            </w:r>
            <w:r>
              <w:rPr>
                <w:rFonts w:hint="eastAsia" w:ascii="宋体" w:hAnsi="宋体" w:eastAsia="宋体" w:cs="宋体"/>
                <w:color w:val="auto"/>
              </w:rPr>
              <w:t>可选择性筛选脆弱性告警列表中指定的应用、API分组、主体类型、风险等级、风险名称、处理状态等，快速定位告警事件</w:t>
            </w:r>
            <w:r>
              <w:rPr>
                <w:rFonts w:hint="eastAsia" w:ascii="宋体" w:hAnsi="宋体" w:eastAsia="宋体" w:cs="宋体"/>
                <w:color w:val="auto"/>
                <w:lang w:val="en-US" w:eastAsia="zh-CN"/>
              </w:rPr>
              <w:t>。</w:t>
            </w: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383" w:type="pct"/>
            <w:vMerge w:val="continue"/>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614" w:type="pct"/>
            <w:vMerge w:val="continue"/>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3338" w:type="pct"/>
            <w:shd w:val="clear" w:color="auto" w:fill="auto"/>
            <w:vAlign w:val="center"/>
          </w:tcPr>
          <w:p>
            <w:pPr>
              <w:pStyle w:val="11"/>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b/>
                <w:bCs/>
                <w:sz w:val="22"/>
                <w:szCs w:val="22"/>
                <w:lang w:val="en-US" w:eastAsia="zh-CN"/>
              </w:rPr>
              <w:t>3、</w:t>
            </w:r>
            <w:r>
              <w:rPr>
                <w:rFonts w:hint="eastAsia" w:ascii="宋体" w:hAnsi="宋体" w:eastAsia="宋体" w:cs="宋体"/>
                <w:b/>
                <w:bCs/>
                <w:sz w:val="22"/>
                <w:szCs w:val="22"/>
              </w:rPr>
              <w:t>数据安全采集探针</w:t>
            </w: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c>
          <w:tcPr>
            <w:tcW w:w="332" w:type="pct"/>
            <w:vMerge w:val="continue"/>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383" w:type="pct"/>
            <w:vMerge w:val="continue"/>
            <w:vAlign w:val="center"/>
          </w:tcPr>
          <w:p>
            <w:pPr>
              <w:pStyle w:val="11"/>
              <w:spacing w:line="360" w:lineRule="auto"/>
              <w:ind w:left="0" w:leftChars="0" w:firstLine="0" w:firstLineChars="0"/>
            </w:pPr>
          </w:p>
        </w:tc>
        <w:tc>
          <w:tcPr>
            <w:tcW w:w="614" w:type="pct"/>
            <w:vMerge w:val="continue"/>
            <w:vAlign w:val="center"/>
          </w:tcPr>
          <w:p>
            <w:pPr>
              <w:pStyle w:val="11"/>
              <w:spacing w:line="360" w:lineRule="auto"/>
              <w:ind w:left="0" w:leftChars="0" w:firstLine="0" w:firstLineChars="0"/>
            </w:pPr>
          </w:p>
        </w:tc>
        <w:tc>
          <w:tcPr>
            <w:tcW w:w="3338" w:type="pct"/>
            <w:shd w:val="clear" w:color="auto" w:fill="auto"/>
            <w:vAlign w:val="center"/>
          </w:tcPr>
          <w:p>
            <w:pPr>
              <w:numPr>
                <w:ilvl w:val="0"/>
                <w:numId w:val="3"/>
              </w:numPr>
              <w:spacing w:line="360" w:lineRule="auto"/>
              <w:ind w:leftChars="0"/>
              <w:rPr>
                <w:rFonts w:hint="eastAsia" w:ascii="宋体" w:hAnsi="宋体" w:eastAsia="宋体" w:cs="宋体"/>
                <w:color w:val="auto"/>
                <w:lang w:val="en-US" w:eastAsia="zh-CN"/>
              </w:rPr>
            </w:pPr>
            <w:r>
              <w:rPr>
                <w:rFonts w:hint="eastAsia" w:ascii="宋体" w:hAnsi="宋体" w:eastAsia="宋体" w:cs="宋体"/>
                <w:color w:val="auto"/>
                <w:lang w:val="en-US" w:eastAsia="zh-CN"/>
              </w:rPr>
              <w:t>支持实时获取Agent引流流量，根据配置信息进行数据预处理。</w:t>
            </w:r>
          </w:p>
          <w:p>
            <w:pPr>
              <w:numPr>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2、采用入库即时加载的处理机制</w:t>
            </w:r>
            <w:r>
              <w:rPr>
                <w:rFonts w:hint="eastAsia" w:ascii="宋体" w:hAnsi="宋体" w:eastAsia="宋体" w:cs="宋体"/>
                <w:color w:val="auto"/>
                <w:lang w:eastAsia="zh-CN"/>
              </w:rPr>
              <w:t>，</w:t>
            </w:r>
            <w:r>
              <w:rPr>
                <w:rFonts w:hint="eastAsia" w:ascii="宋体" w:hAnsi="宋体" w:eastAsia="宋体" w:cs="宋体"/>
                <w:color w:val="auto"/>
                <w:lang w:val="en-US" w:eastAsia="zh-CN"/>
              </w:rPr>
              <w:t>将处理完成的数据入库保存，</w:t>
            </w:r>
            <w:r>
              <w:rPr>
                <w:rFonts w:hint="eastAsia" w:ascii="宋体" w:hAnsi="宋体" w:eastAsia="宋体" w:cs="宋体"/>
                <w:color w:val="auto"/>
              </w:rPr>
              <w:t>来保障</w:t>
            </w:r>
            <w:r>
              <w:rPr>
                <w:rFonts w:hint="eastAsia" w:ascii="宋体" w:hAnsi="宋体" w:eastAsia="宋体" w:cs="宋体"/>
                <w:color w:val="auto"/>
                <w:lang w:val="en-US" w:eastAsia="zh-CN"/>
              </w:rPr>
              <w:t>检测结果展示的实时性。</w:t>
            </w:r>
          </w:p>
          <w:p>
            <w:pPr>
              <w:pStyle w:val="11"/>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3、支持使用agent的方式采集流量到探针上，agent支持CentOS、Redhat6.5以上等操作系统，在平台上可直观看到agent的整体运行情况。</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4、在宿主机上的CPU占用不超过5%，内存不超过5%，支持当运行主机CPU超过80%以后，agent做静默处理，避免影响业务。</w:t>
            </w:r>
          </w:p>
          <w:p>
            <w:pPr>
              <w:numPr>
                <w:ilvl w:val="0"/>
                <w:numId w:val="0"/>
              </w:numPr>
              <w:spacing w:line="36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5、支持在agent上指定网口、端口回传流量，避免影响数据库业务。</w:t>
            </w:r>
          </w:p>
          <w:p>
            <w:pPr>
              <w:pStyle w:val="11"/>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6、Agent采集的流量需要通过加密通路发送给数据探针，确保传输数据安全。</w:t>
            </w:r>
          </w:p>
        </w:tc>
        <w:tc>
          <w:tcPr>
            <w:tcW w:w="332" w:type="pct"/>
            <w:vMerge w:val="continue"/>
            <w:shd w:val="clear" w:color="auto" w:fill="auto"/>
            <w:vAlign w:val="center"/>
          </w:tcPr>
          <w:p>
            <w:pPr>
              <w:pStyle w:val="11"/>
              <w:spacing w:line="360" w:lineRule="auto"/>
              <w:ind w:left="0" w:leftChars="0" w:firstLine="0" w:firstLineChars="0"/>
              <w:rPr>
                <w:rFonts w:hint="eastAsia" w:ascii="宋体" w:hAnsi="宋体" w:eastAsia="宋体" w:cs="宋体"/>
                <w:color w:val="auto"/>
                <w:lang w:val="en-US" w:eastAsia="zh-CN"/>
              </w:rPr>
            </w:pPr>
          </w:p>
        </w:tc>
        <w:tc>
          <w:tcPr>
            <w:tcW w:w="332" w:type="pct"/>
            <w:vMerge w:val="continue"/>
            <w:shd w:val="clear" w:color="auto" w:fill="auto"/>
            <w:vAlign w:val="center"/>
          </w:tcPr>
          <w:p>
            <w:pPr>
              <w:pStyle w:val="11"/>
              <w:spacing w:line="360" w:lineRule="auto"/>
              <w:ind w:left="0" w:leftChars="0" w:firstLine="0" w:firstLineChars="0"/>
              <w:rPr>
                <w:rFonts w:hint="eastAsia" w:ascii="宋体" w:hAnsi="宋体" w:eastAsia="宋体" w:cs="宋体"/>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383" w:type="pct"/>
            <w:vAlign w:val="center"/>
          </w:tcPr>
          <w:p>
            <w:pPr>
              <w:widowControl/>
              <w:spacing w:line="36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614" w:type="pct"/>
            <w:vAlign w:val="center"/>
          </w:tcPr>
          <w:p>
            <w:pPr>
              <w:widowControl/>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服务器负载均衡</w:t>
            </w:r>
          </w:p>
        </w:tc>
        <w:tc>
          <w:tcPr>
            <w:tcW w:w="3338" w:type="pct"/>
            <w:shd w:val="clear" w:color="auto" w:fill="auto"/>
            <w:vAlign w:val="center"/>
          </w:tcPr>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（1）2U标准机架式，内存大小≥8G，电源：冗余电源，接口≥6个千兆电口+2个万兆光口；四层吞吐量≥20G，四层并发连接数≥800万，四层新建连接数 CPS≥21万，7层新建请求数 RPS≥35万。</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2）支持针对多条出口线路的链路负载均衡功能，实现inbound和outbound流量的均衡调度，以及链路之间的冗余互备。且单一设备可同时支持包括链路负载均衡、全局负载均衡和服务器负载均衡的功能。三种功能同时处于激活可使用状态，无需额外购买相应授权。</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(3)开通HTTP压缩、HTTP缓存、TCP连接复用、SSL卸载等功能，无需额外购买相应授权。</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（4）支持轮询、加权轮询、按主机加权轮询、加权最小连接、按主机加权最小连接、动态反馈、最快响应、加权最小流量、按主机加权最小流量、加权源IP哈希、带宽比例、哈希、首个可用、优先级等算法。</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（5）支持源IP、Cookie（插入/被动/改写）、HTTP-Passive、SSL Session ID等多种会话保持机制，支持跨虚拟服务的会话保持。</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6）支持图片优化技术，通过对图片格式的转换，减少传输流量，提升web页面加载速度。无需改动服务器端的图片源文件，可根据浏览器种类自动识别转换类型，将图片转换为对应支持的WebP或JPEG格式，优化加速效果。</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7）支持显示设备的电源状态、风扇转速、磁盘温度、CPU温度、CPU和内存占用率、新建连接数、并发连接数、吞吐情况、SSL新建和SSL吞吐数据、压缩优化和缓存优化数据；业务的健康状态、新建连接数、并发连接数、上下行流量、每秒请求数；节点池的调度算法、健康状态、新建连接数、并发连接数、上下行流量；</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（8）支持串接部署方式和旁路部署方式，支持三角传输模式；支持双机热备部署方式，可自动同步配置并提供连接会话的镜像功能，实现无缝故障切换；</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（9）支持高可用集群N+M部署方式，可自动同步配置并提供连接会话的镜像功能，实现无缝故障切换.</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（10）为了保障产品的性能、功能，达到需求效果，采购人保留测试权利；</w:t>
            </w:r>
          </w:p>
          <w:p>
            <w:pPr>
              <w:pStyle w:val="11"/>
              <w:numPr>
                <w:ilvl w:val="0"/>
                <w:numId w:val="0"/>
              </w:numPr>
              <w:spacing w:line="360" w:lineRule="auto"/>
              <w:ind w:leftChars="0"/>
              <w:rPr>
                <w:rFonts w:hint="eastAsia" w:ascii="宋体" w:hAnsi="宋体" w:eastAsia="宋体" w:cs="宋体"/>
                <w:lang w:val="en-US" w:eastAsia="zh-CN"/>
              </w:rPr>
            </w:pPr>
            <w:r>
              <w:rPr>
                <w:rFonts w:hint="eastAsia" w:ascii="宋体" w:hAnsi="宋体" w:eastAsia="宋体" w:cs="宋体"/>
                <w:lang w:val="en-US" w:eastAsia="zh-CN"/>
              </w:rPr>
              <w:t>（11）提供3年硬件质保、3年软件升级。</w:t>
            </w:r>
          </w:p>
        </w:tc>
        <w:tc>
          <w:tcPr>
            <w:tcW w:w="332" w:type="pct"/>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332" w:type="pct"/>
            <w:shd w:val="clear" w:color="auto" w:fill="auto"/>
            <w:vAlign w:val="center"/>
          </w:tcPr>
          <w:p>
            <w:pPr>
              <w:widowControl/>
              <w:spacing w:line="360" w:lineRule="auto"/>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383" w:type="pct"/>
            <w:vAlign w:val="center"/>
          </w:tcPr>
          <w:p>
            <w:pPr>
              <w:widowControl/>
              <w:spacing w:line="360" w:lineRule="auto"/>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614" w:type="pct"/>
            <w:vAlign w:val="center"/>
          </w:tcPr>
          <w:p>
            <w:pPr>
              <w:pStyle w:val="11"/>
              <w:numPr>
                <w:ilvl w:val="0"/>
                <w:numId w:val="0"/>
              </w:numPr>
              <w:spacing w:line="360" w:lineRule="auto"/>
              <w:rPr>
                <w:rFonts w:hint="eastAsia" w:ascii="宋体" w:hAnsi="宋体" w:eastAsia="宋体" w:cs="宋体"/>
                <w:lang w:val="en-US" w:eastAsia="zh-CN"/>
              </w:rPr>
            </w:pPr>
            <w:r>
              <w:rPr>
                <w:rFonts w:hint="eastAsia" w:ascii="宋体" w:hAnsi="宋体" w:eastAsia="宋体" w:cs="宋体"/>
                <w:lang w:val="en-US" w:eastAsia="zh-CN"/>
              </w:rPr>
              <w:t>持续数据保护软件</w:t>
            </w:r>
          </w:p>
        </w:tc>
        <w:tc>
          <w:tcPr>
            <w:tcW w:w="3338" w:type="pct"/>
            <w:shd w:val="clear" w:color="auto" w:fill="auto"/>
            <w:vAlign w:val="center"/>
          </w:tcPr>
          <w:p>
            <w:pPr>
              <w:pStyle w:val="11"/>
              <w:numPr>
                <w:ilvl w:val="0"/>
                <w:numId w:val="0"/>
              </w:numPr>
              <w:spacing w:line="360" w:lineRule="auto"/>
              <w:rPr>
                <w:rFonts w:hint="eastAsia"/>
                <w:lang w:val="en-US" w:eastAsia="zh-CN"/>
              </w:rPr>
            </w:pPr>
            <w:r>
              <w:rPr>
                <w:rFonts w:hint="eastAsia"/>
                <w:lang w:val="en-US" w:eastAsia="zh-CN"/>
              </w:rPr>
              <w:t xml:space="preserve">(1)支持无代理CDP技术，不需要在虚拟机内部安装任何代理软件，即可对虚拟机进行持续数据保护，CDP不影响保护虚拟机的性能； </w:t>
            </w:r>
          </w:p>
          <w:p>
            <w:pPr>
              <w:pStyle w:val="11"/>
              <w:numPr>
                <w:ilvl w:val="0"/>
                <w:numId w:val="0"/>
              </w:numPr>
              <w:spacing w:line="360" w:lineRule="auto"/>
              <w:rPr>
                <w:rFonts w:hint="eastAsia"/>
                <w:lang w:val="en-US" w:eastAsia="zh-CN"/>
              </w:rPr>
            </w:pPr>
            <w:r>
              <w:rPr>
                <w:rFonts w:hint="eastAsia"/>
                <w:lang w:val="en-US" w:eastAsia="zh-CN"/>
              </w:rPr>
              <w:t xml:space="preserve">(2)最小提供RPO为秒级的数据保护； </w:t>
            </w:r>
          </w:p>
          <w:p>
            <w:pPr>
              <w:pStyle w:val="11"/>
              <w:numPr>
                <w:ilvl w:val="0"/>
                <w:numId w:val="0"/>
              </w:numPr>
              <w:spacing w:line="360" w:lineRule="auto"/>
              <w:rPr>
                <w:rFonts w:hint="eastAsia"/>
                <w:lang w:val="en-US" w:eastAsia="zh-CN"/>
              </w:rPr>
            </w:pPr>
            <w:r>
              <w:rPr>
                <w:rFonts w:hint="eastAsia"/>
                <w:lang w:val="en-US" w:eastAsia="zh-CN"/>
              </w:rPr>
              <w:t xml:space="preserve">(3)支持业务虚拟机的快速恢复，可以指定策略覆盖原有虚拟机或者创建新虚拟机； </w:t>
            </w:r>
          </w:p>
          <w:p>
            <w:pPr>
              <w:pStyle w:val="11"/>
              <w:numPr>
                <w:ilvl w:val="0"/>
                <w:numId w:val="0"/>
              </w:numPr>
              <w:spacing w:line="360" w:lineRule="auto"/>
              <w:rPr>
                <w:rFonts w:hint="eastAsia"/>
                <w:lang w:val="en-US" w:eastAsia="zh-CN"/>
              </w:rPr>
            </w:pPr>
            <w:r>
              <w:rPr>
                <w:rFonts w:hint="eastAsia"/>
                <w:lang w:val="en-US" w:eastAsia="zh-CN"/>
              </w:rPr>
              <w:t xml:space="preserve">(4)支持CDP备份任意时间点的数据克隆，通过克隆数据恢复虚拟机进行测试与验证； </w:t>
            </w:r>
          </w:p>
          <w:p>
            <w:pPr>
              <w:pStyle w:val="11"/>
              <w:numPr>
                <w:ilvl w:val="0"/>
                <w:numId w:val="0"/>
              </w:numPr>
              <w:spacing w:line="360" w:lineRule="auto"/>
              <w:rPr>
                <w:rFonts w:hint="eastAsia"/>
                <w:lang w:val="en-US" w:eastAsia="zh-CN"/>
              </w:rPr>
            </w:pPr>
            <w:r>
              <w:rPr>
                <w:rFonts w:hint="eastAsia"/>
                <w:lang w:val="en-US" w:eastAsia="zh-CN"/>
              </w:rPr>
              <w:t xml:space="preserve">(5)支持通过CDP备份数据找回文件； </w:t>
            </w:r>
          </w:p>
          <w:p>
            <w:pPr>
              <w:pStyle w:val="11"/>
              <w:numPr>
                <w:ilvl w:val="0"/>
                <w:numId w:val="0"/>
              </w:numPr>
              <w:spacing w:line="360" w:lineRule="auto"/>
              <w:rPr>
                <w:rFonts w:hint="eastAsia"/>
                <w:lang w:val="en-US" w:eastAsia="zh-CN"/>
              </w:rPr>
            </w:pPr>
            <w:r>
              <w:rPr>
                <w:rFonts w:hint="eastAsia"/>
                <w:lang w:val="en-US" w:eastAsia="zh-CN"/>
              </w:rPr>
              <w:t xml:space="preserve">(6)支持CDP功能升级扩展为异地CDP容灾能力； </w:t>
            </w:r>
          </w:p>
          <w:p>
            <w:pPr>
              <w:pStyle w:val="11"/>
              <w:numPr>
                <w:ilvl w:val="0"/>
                <w:numId w:val="0"/>
              </w:numPr>
              <w:spacing w:line="360" w:lineRule="auto"/>
              <w:rPr>
                <w:rFonts w:hint="eastAsia"/>
                <w:lang w:val="en-US" w:eastAsia="zh-CN"/>
              </w:rPr>
            </w:pPr>
            <w:r>
              <w:rPr>
                <w:rFonts w:hint="eastAsia"/>
                <w:lang w:val="en-US" w:eastAsia="zh-CN"/>
              </w:rPr>
              <w:t>(7)支持提供CDP备份时间点图形化显示，并显示CDP时间点IO日志保存速率； 支持CDP日志丢失后的备份恢复容错能力；</w:t>
            </w:r>
          </w:p>
          <w:p>
            <w:pPr>
              <w:rPr>
                <w:rFonts w:hint="default"/>
                <w:lang w:val="en-US" w:eastAsia="zh-CN"/>
              </w:rPr>
            </w:pPr>
            <w:r>
              <w:rPr>
                <w:rFonts w:hint="eastAsia"/>
                <w:lang w:val="en-US" w:eastAsia="zh-CN"/>
              </w:rPr>
              <w:t>(8)提供一个超融合集群的CDP模块及50个虚拟机授权，三年软件升级服务。</w:t>
            </w:r>
          </w:p>
        </w:tc>
        <w:tc>
          <w:tcPr>
            <w:tcW w:w="332" w:type="pct"/>
            <w:shd w:val="clear" w:color="auto" w:fill="auto"/>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332" w:type="pct"/>
            <w:shd w:val="clear" w:color="auto" w:fill="auto"/>
            <w:vAlign w:val="center"/>
          </w:tcPr>
          <w:p>
            <w:pPr>
              <w:widowControl/>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w:t>
            </w:r>
          </w:p>
        </w:tc>
      </w:tr>
    </w:tbl>
    <w:p>
      <w:pPr>
        <w:spacing w:line="360" w:lineRule="auto"/>
        <w:rPr>
          <w:rFonts w:hint="default" w:ascii="宋体" w:hAnsi="宋体" w:eastAsia="宋体" w:cs="宋体"/>
          <w:lang w:val="en-US" w:eastAsia="zh-CN"/>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0AD37"/>
    <w:multiLevelType w:val="singleLevel"/>
    <w:tmpl w:val="9E60AD37"/>
    <w:lvl w:ilvl="0" w:tentative="0">
      <w:start w:val="1"/>
      <w:numFmt w:val="decimal"/>
      <w:suff w:val="nothing"/>
      <w:lvlText w:val="%1、"/>
      <w:lvlJc w:val="left"/>
    </w:lvl>
  </w:abstractNum>
  <w:abstractNum w:abstractNumId="1">
    <w:nsid w:val="2AA119ED"/>
    <w:multiLevelType w:val="multilevel"/>
    <w:tmpl w:val="2AA119ED"/>
    <w:lvl w:ilvl="0" w:tentative="0">
      <w:start w:val="1"/>
      <w:numFmt w:val="decimal"/>
      <w:pStyle w:val="31"/>
      <w:lvlText w:val="5.%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3524F1"/>
    <w:rsid w:val="00D67FAC"/>
    <w:rsid w:val="011D2710"/>
    <w:rsid w:val="03677F1C"/>
    <w:rsid w:val="03C00288"/>
    <w:rsid w:val="04497378"/>
    <w:rsid w:val="0824708D"/>
    <w:rsid w:val="09F525E7"/>
    <w:rsid w:val="0C6118EC"/>
    <w:rsid w:val="0F38025F"/>
    <w:rsid w:val="112942F2"/>
    <w:rsid w:val="13AD0956"/>
    <w:rsid w:val="15013580"/>
    <w:rsid w:val="1617084C"/>
    <w:rsid w:val="16582103"/>
    <w:rsid w:val="19520D67"/>
    <w:rsid w:val="1AE03EC5"/>
    <w:rsid w:val="21D517AF"/>
    <w:rsid w:val="250F29E0"/>
    <w:rsid w:val="28942A08"/>
    <w:rsid w:val="28B833BB"/>
    <w:rsid w:val="2BA502A4"/>
    <w:rsid w:val="2C0D314C"/>
    <w:rsid w:val="2EA57CC9"/>
    <w:rsid w:val="30267AFA"/>
    <w:rsid w:val="30AC56EC"/>
    <w:rsid w:val="33BE6B8B"/>
    <w:rsid w:val="347C6618"/>
    <w:rsid w:val="35CF5088"/>
    <w:rsid w:val="36812553"/>
    <w:rsid w:val="40EB0437"/>
    <w:rsid w:val="41F23E59"/>
    <w:rsid w:val="47130624"/>
    <w:rsid w:val="495E48DE"/>
    <w:rsid w:val="4CA23144"/>
    <w:rsid w:val="4D6F4BBF"/>
    <w:rsid w:val="517C24CF"/>
    <w:rsid w:val="52882A23"/>
    <w:rsid w:val="5307161A"/>
    <w:rsid w:val="58FC6995"/>
    <w:rsid w:val="5B6321F9"/>
    <w:rsid w:val="5BE00613"/>
    <w:rsid w:val="5F2E7E9E"/>
    <w:rsid w:val="611E26E5"/>
    <w:rsid w:val="64002DB3"/>
    <w:rsid w:val="67010561"/>
    <w:rsid w:val="67FC57CB"/>
    <w:rsid w:val="68A13DAA"/>
    <w:rsid w:val="6D4745A7"/>
    <w:rsid w:val="77301D86"/>
    <w:rsid w:val="777557C7"/>
    <w:rsid w:val="7AE00CFB"/>
    <w:rsid w:val="7AE016C5"/>
    <w:rsid w:val="7C0F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1"/>
    <w:basedOn w:val="1"/>
    <w:next w:val="1"/>
    <w:qFormat/>
    <w:uiPriority w:val="9"/>
    <w:pPr>
      <w:keepNext/>
      <w:spacing w:before="240" w:after="60"/>
      <w:outlineLvl w:val="0"/>
    </w:pPr>
    <w:rPr>
      <w:rFonts w:ascii="Calibri Light" w:hAnsi="Calibri Light" w:eastAsia="等线 Light" w:cs="Times New Roman"/>
      <w:b/>
      <w:bCs/>
      <w:kern w:val="32"/>
      <w:sz w:val="32"/>
      <w:szCs w:val="32"/>
    </w:rPr>
  </w:style>
  <w:style w:type="paragraph" w:styleId="3">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qFormat/>
    <w:uiPriority w:val="0"/>
    <w:rPr>
      <w:rFonts w:ascii="Calibri" w:hAnsi="Calibri" w:eastAsia="宋体" w:cs="Calibri"/>
    </w:rPr>
  </w:style>
  <w:style w:type="paragraph" w:styleId="8">
    <w:name w:val="Body Text"/>
    <w:basedOn w:val="1"/>
    <w:qFormat/>
    <w:uiPriority w:val="0"/>
    <w:pPr>
      <w:ind w:left="637"/>
    </w:pPr>
    <w:rPr>
      <w:rFonts w:ascii="宋体" w:hAnsi="宋体" w:eastAsia="宋体" w:cs="宋体"/>
      <w:kern w:val="0"/>
    </w:rPr>
  </w:style>
  <w:style w:type="paragraph" w:styleId="9">
    <w:name w:val="footer"/>
    <w:basedOn w:val="1"/>
    <w:qFormat/>
    <w:uiPriority w:val="0"/>
    <w:rPr>
      <w:sz w:val="18"/>
    </w:rPr>
  </w:style>
  <w:style w:type="paragraph" w:styleId="10">
    <w:name w:val="header"/>
    <w:basedOn w:val="1"/>
    <w:qFormat/>
    <w:uiPriority w:val="0"/>
    <w:pPr>
      <w:pBdr>
        <w:bottom w:val="single" w:color="000000" w:sz="6" w:space="1"/>
      </w:pBdr>
      <w:jc w:val="center"/>
    </w:pPr>
    <w:rPr>
      <w:sz w:val="18"/>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rPr>
      <w:sz w:val="24"/>
    </w:rPr>
  </w:style>
  <w:style w:type="table" w:styleId="14">
    <w:name w:val="Table Grid"/>
    <w:basedOn w:val="13"/>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paragraph" w:customStyle="1" w:styleId="18">
    <w:name w:val="正文缩进_0"/>
    <w:basedOn w:val="19"/>
    <w:qFormat/>
    <w:uiPriority w:val="0"/>
    <w:pPr>
      <w:ind w:firstLine="420"/>
    </w:pPr>
    <w:rPr>
      <w:rFonts w:ascii="Times New Roman" w:hAnsi="Times New Roman"/>
      <w:kern w:val="0"/>
    </w:rPr>
  </w:style>
  <w:style w:type="paragraph" w:customStyle="1" w:styleId="19">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20">
    <w:name w:val="批注文字 字符1"/>
    <w:qFormat/>
    <w:uiPriority w:val="0"/>
    <w:rPr>
      <w:rFonts w:ascii="Calibri" w:hAnsi="Calibri" w:eastAsia="宋体" w:cs="Calibri"/>
      <w:kern w:val="2"/>
      <w:sz w:val="21"/>
    </w:rPr>
  </w:style>
  <w:style w:type="paragraph" w:customStyle="1" w:styleId="21">
    <w:name w:val="列出段落1"/>
    <w:basedOn w:val="1"/>
    <w:qFormat/>
    <w:uiPriority w:val="0"/>
    <w:pPr>
      <w:ind w:firstLine="420" w:firstLineChars="200"/>
    </w:pPr>
    <w:rPr>
      <w:rFonts w:ascii="Times New Roman" w:hAnsi="Times New Roman" w:eastAsia="宋体" w:cs="Times New Roman"/>
    </w:rPr>
  </w:style>
  <w:style w:type="character" w:customStyle="1" w:styleId="22">
    <w:name w:val="标题 3 字符"/>
    <w:basedOn w:val="15"/>
    <w:qFormat/>
    <w:uiPriority w:val="0"/>
    <w:rPr>
      <w:b/>
      <w:kern w:val="2"/>
      <w:sz w:val="32"/>
    </w:rPr>
  </w:style>
  <w:style w:type="character" w:customStyle="1" w:styleId="23">
    <w:name w:val="标题 4 字符"/>
    <w:basedOn w:val="15"/>
    <w:qFormat/>
    <w:uiPriority w:val="0"/>
    <w:rPr>
      <w:rFonts w:asciiTheme="majorHAnsi" w:hAnsiTheme="majorHAnsi" w:eastAsiaTheme="majorEastAsia" w:cstheme="majorBidi"/>
      <w:b/>
      <w:kern w:val="2"/>
      <w:sz w:val="28"/>
    </w:rPr>
  </w:style>
  <w:style w:type="character" w:customStyle="1" w:styleId="24">
    <w:name w:val="正文缩进 Char_0"/>
    <w:qFormat/>
    <w:uiPriority w:val="0"/>
    <w:rPr>
      <w:rFonts w:ascii="Times New Roman" w:hAnsi="Times New Roman" w:eastAsia="宋体" w:cs="Times New Roman"/>
      <w:sz w:val="21"/>
    </w:rPr>
  </w:style>
  <w:style w:type="character" w:customStyle="1" w:styleId="25">
    <w:name w:val="正文文本 字符"/>
    <w:basedOn w:val="15"/>
    <w:qFormat/>
    <w:uiPriority w:val="0"/>
    <w:rPr>
      <w:rFonts w:ascii="宋体" w:hAnsi="宋体" w:eastAsia="宋体" w:cs="宋体"/>
      <w:sz w:val="21"/>
    </w:rPr>
  </w:style>
  <w:style w:type="character" w:customStyle="1" w:styleId="26">
    <w:name w:val="页脚 字符"/>
    <w:basedOn w:val="15"/>
    <w:qFormat/>
    <w:uiPriority w:val="0"/>
    <w:rPr>
      <w:kern w:val="2"/>
      <w:sz w:val="18"/>
    </w:rPr>
  </w:style>
  <w:style w:type="character" w:customStyle="1" w:styleId="27">
    <w:name w:val="页眉 字符"/>
    <w:basedOn w:val="15"/>
    <w:qFormat/>
    <w:uiPriority w:val="0"/>
    <w:rPr>
      <w:kern w:val="2"/>
      <w:sz w:val="18"/>
    </w:rPr>
  </w:style>
  <w:style w:type="paragraph" w:styleId="28">
    <w:name w:val="List Paragraph"/>
    <w:basedOn w:val="1"/>
    <w:qFormat/>
    <w:uiPriority w:val="0"/>
    <w:pPr>
      <w:ind w:firstLine="420" w:firstLineChars="200"/>
    </w:pPr>
  </w:style>
  <w:style w:type="character" w:customStyle="1" w:styleId="29">
    <w:name w:val="列表段落 字符"/>
    <w:qFormat/>
    <w:uiPriority w:val="0"/>
    <w:rPr>
      <w:kern w:val="2"/>
      <w:sz w:val="21"/>
    </w:rPr>
  </w:style>
  <w:style w:type="character" w:customStyle="1" w:styleId="30">
    <w:name w:val="批注文字 字符"/>
    <w:basedOn w:val="15"/>
    <w:qFormat/>
    <w:uiPriority w:val="0"/>
    <w:rPr>
      <w:kern w:val="2"/>
      <w:sz w:val="21"/>
    </w:rPr>
  </w:style>
  <w:style w:type="paragraph" w:customStyle="1" w:styleId="31">
    <w:name w:val="样式1"/>
    <w:basedOn w:val="1"/>
    <w:qFormat/>
    <w:uiPriority w:val="0"/>
    <w:pPr>
      <w:widowControl w:val="0"/>
      <w:numPr>
        <w:ilvl w:val="0"/>
        <w:numId w:val="1"/>
      </w:numPr>
      <w:spacing w:line="240" w:lineRule="auto"/>
      <w:jc w:val="both"/>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4918</Words>
  <Characters>5270</Characters>
  <Lines>28</Lines>
  <Paragraphs>8</Paragraphs>
  <TotalTime>3</TotalTime>
  <ScaleCrop>false</ScaleCrop>
  <LinksUpToDate>false</LinksUpToDate>
  <CharactersWithSpaces>5282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James</cp:lastModifiedBy>
  <dcterms:modified xsi:type="dcterms:W3CDTF">2023-06-15T14:02:26Z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36ED38BB86864FD4ADDA95AA8FA82F90_13</vt:lpwstr>
  </property>
</Properties>
</file>