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rPr>
      </w:pPr>
      <w:r>
        <w:rPr>
          <w:rFonts w:hint="eastAsia" w:ascii="宋体" w:hAnsi="宋体" w:eastAsia="宋体"/>
          <w:b/>
          <w:sz w:val="36"/>
          <w:lang w:val="en-US" w:eastAsia="zh-CN"/>
        </w:rPr>
        <w:t>2023年网络</w:t>
      </w:r>
      <w:r>
        <w:rPr>
          <w:rFonts w:hint="eastAsia" w:ascii="宋体" w:hAnsi="宋体" w:eastAsia="宋体"/>
          <w:b/>
          <w:sz w:val="36"/>
        </w:rPr>
        <w:t>安全</w:t>
      </w:r>
      <w:r>
        <w:rPr>
          <w:rFonts w:hint="eastAsia" w:ascii="宋体" w:hAnsi="宋体" w:eastAsia="宋体"/>
          <w:b/>
          <w:sz w:val="36"/>
          <w:lang w:val="en-US" w:eastAsia="zh-CN"/>
        </w:rPr>
        <w:t>运维</w:t>
      </w:r>
      <w:bookmarkStart w:id="0" w:name="_GoBack"/>
      <w:bookmarkEnd w:id="0"/>
      <w:r>
        <w:rPr>
          <w:rFonts w:hint="eastAsia" w:ascii="宋体" w:hAnsi="宋体" w:eastAsia="宋体"/>
          <w:b/>
          <w:sz w:val="36"/>
        </w:rPr>
        <w:t>服务项目</w:t>
      </w:r>
    </w:p>
    <w:p>
      <w:pPr>
        <w:jc w:val="center"/>
        <w:rPr>
          <w:rFonts w:ascii="宋体" w:hAnsi="宋体" w:eastAsia="宋体"/>
          <w:b/>
          <w:sz w:val="36"/>
        </w:rPr>
      </w:pPr>
      <w:r>
        <w:rPr>
          <w:rFonts w:hint="eastAsia" w:ascii="宋体" w:hAnsi="宋体" w:eastAsia="宋体"/>
          <w:b/>
          <w:sz w:val="36"/>
        </w:rPr>
        <w:t>用户需求书</w:t>
      </w:r>
    </w:p>
    <w:p>
      <w:pPr>
        <w:pStyle w:val="3"/>
        <w:numPr>
          <w:ilvl w:val="0"/>
          <w:numId w:val="2"/>
        </w:numPr>
        <w:rPr>
          <w:rFonts w:hint="default" w:ascii="宋体" w:hAnsi="宋体" w:eastAsia="宋体"/>
          <w:lang w:val="en-US" w:eastAsia="zh-CN"/>
        </w:rPr>
      </w:pPr>
      <w:r>
        <w:rPr>
          <w:rFonts w:hint="eastAsia" w:ascii="宋体" w:hAnsi="宋体" w:eastAsia="宋体"/>
          <w:lang w:val="en-US" w:eastAsia="zh-CN"/>
        </w:rPr>
        <w:t>项目背景</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近年来，医疗卫生系统信息安全事故频发，网络安全形势越来越严峻。为落</w:t>
      </w:r>
      <w:r>
        <w:rPr>
          <w:rFonts w:hint="eastAsia" w:ascii="仿宋_GB2312" w:hAnsi="仿宋_GB2312" w:eastAsia="仿宋_GB2312" w:cs="仿宋_GB2312"/>
          <w:spacing w:val="-7"/>
          <w:sz w:val="32"/>
          <w:szCs w:val="32"/>
          <w:lang w:val="en-US" w:eastAsia="zh-CN"/>
        </w:rPr>
        <w:t>实《中华人民共和国网络安全法》，响应“2023护网行动”要求，根据上级单位文件要求，我院需建立并完善网络安全运营监测预警和应急处置机制，提高</w:t>
      </w:r>
      <w:r>
        <w:rPr>
          <w:rFonts w:hint="eastAsia" w:ascii="仿宋_GB2312" w:hAnsi="宋体" w:eastAsia="仿宋_GB2312"/>
          <w:bCs/>
          <w:sz w:val="32"/>
          <w:szCs w:val="32"/>
          <w:lang w:val="en-US" w:eastAsia="zh-CN"/>
        </w:rPr>
        <w:t>网络安全防护和</w:t>
      </w:r>
      <w:r>
        <w:rPr>
          <w:rFonts w:hint="eastAsia" w:ascii="仿宋_GB2312" w:hAnsi="仿宋_GB2312" w:eastAsia="仿宋_GB2312" w:cs="仿宋_GB2312"/>
          <w:bCs w:val="0"/>
          <w:sz w:val="32"/>
          <w:szCs w:val="32"/>
          <w:lang w:val="en-US" w:eastAsia="zh-CN"/>
        </w:rPr>
        <w:t>应急</w:t>
      </w:r>
      <w:r>
        <w:rPr>
          <w:rFonts w:hint="eastAsia" w:ascii="仿宋_GB2312" w:hAnsi="宋体" w:eastAsia="仿宋_GB2312"/>
          <w:bCs/>
          <w:sz w:val="32"/>
          <w:szCs w:val="32"/>
          <w:lang w:val="en-US" w:eastAsia="zh-CN"/>
        </w:rPr>
        <w:t>处置能力。通过</w:t>
      </w:r>
      <w:r>
        <w:rPr>
          <w:rFonts w:hint="eastAsia" w:ascii="仿宋_GB2312" w:hAnsi="仿宋_GB2312" w:eastAsia="仿宋_GB2312" w:cs="仿宋_GB2312"/>
          <w:spacing w:val="-7"/>
          <w:sz w:val="32"/>
          <w:szCs w:val="32"/>
          <w:lang w:val="en-US" w:eastAsia="zh-CN"/>
        </w:rPr>
        <w:t>开展漏洞扫描、病毒查杀、渗透测试等安全技术检测和风险评估工作，及时完成系统升级更新，全面消除系统存在的安全漏洞，有效避免网络安全事件。</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仿宋_GB2312" w:hAnsi="仿宋_GB2312" w:eastAsia="仿宋_GB2312" w:cs="仿宋_GB2312"/>
          <w:spacing w:val="-7"/>
          <w:sz w:val="32"/>
          <w:szCs w:val="32"/>
          <w:lang w:val="en-US" w:eastAsia="zh-CN"/>
        </w:rPr>
      </w:pPr>
    </w:p>
    <w:p>
      <w:pPr>
        <w:pStyle w:val="2"/>
        <w:ind w:left="0" w:leftChars="0" w:firstLine="0" w:firstLineChars="0"/>
        <w:rPr>
          <w:rFonts w:hint="eastAsia"/>
          <w:lang w:val="en-US"/>
        </w:rPr>
      </w:pPr>
    </w:p>
    <w:p>
      <w:pPr>
        <w:pStyle w:val="3"/>
        <w:numPr>
          <w:ilvl w:val="0"/>
          <w:numId w:val="2"/>
        </w:numPr>
        <w:rPr>
          <w:rFonts w:ascii="宋体" w:hAnsi="宋体" w:eastAsia="宋体"/>
        </w:rPr>
      </w:pPr>
      <w:r>
        <w:rPr>
          <w:rFonts w:hint="eastAsia" w:ascii="宋体" w:hAnsi="宋体" w:eastAsia="宋体"/>
        </w:rPr>
        <w:t>项目建设清单</w:t>
      </w:r>
    </w:p>
    <w:tbl>
      <w:tblPr>
        <w:tblStyle w:val="9"/>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915"/>
        <w:gridCol w:w="1183"/>
        <w:gridCol w:w="444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b/>
                <w:bCs/>
                <w:color w:val="000000"/>
                <w:kern w:val="0"/>
                <w:sz w:val="24"/>
                <w:szCs w:val="24"/>
              </w:rPr>
            </w:pPr>
            <w:r>
              <w:rPr>
                <w:rFonts w:hint="eastAsia" w:ascii="宋体" w:hAnsi="宋体" w:eastAsia="宋体" w:cs="仿宋"/>
                <w:b/>
                <w:bCs/>
                <w:color w:val="000000"/>
                <w:kern w:val="0"/>
                <w:sz w:val="24"/>
                <w:szCs w:val="24"/>
              </w:rPr>
              <w:t>序号</w:t>
            </w:r>
          </w:p>
        </w:tc>
        <w:tc>
          <w:tcPr>
            <w:tcW w:w="1183" w:type="dxa"/>
            <w:shd w:val="clear" w:color="auto" w:fill="FFFFFF"/>
            <w:vAlign w:val="center"/>
          </w:tcPr>
          <w:p>
            <w:pPr>
              <w:widowControl/>
              <w:jc w:val="center"/>
              <w:rPr>
                <w:rFonts w:ascii="宋体" w:hAnsi="宋体" w:eastAsia="宋体" w:cs="仿宋"/>
                <w:b/>
                <w:bCs/>
                <w:color w:val="000000"/>
                <w:kern w:val="0"/>
                <w:sz w:val="24"/>
                <w:szCs w:val="24"/>
              </w:rPr>
            </w:pPr>
            <w:r>
              <w:rPr>
                <w:rFonts w:hint="eastAsia" w:ascii="宋体" w:hAnsi="宋体" w:eastAsia="宋体" w:cs="仿宋"/>
                <w:b/>
                <w:bCs/>
                <w:color w:val="000000"/>
                <w:kern w:val="0"/>
                <w:sz w:val="24"/>
                <w:szCs w:val="24"/>
              </w:rPr>
              <w:t>名称</w:t>
            </w:r>
          </w:p>
        </w:tc>
        <w:tc>
          <w:tcPr>
            <w:tcW w:w="4449" w:type="dxa"/>
            <w:shd w:val="clear" w:color="auto" w:fill="FFFFFF"/>
            <w:vAlign w:val="center"/>
          </w:tcPr>
          <w:p>
            <w:pPr>
              <w:widowControl/>
              <w:jc w:val="center"/>
              <w:rPr>
                <w:rFonts w:ascii="宋体" w:hAnsi="宋体" w:eastAsia="宋体" w:cs="仿宋"/>
                <w:b/>
                <w:bCs/>
                <w:color w:val="000000"/>
                <w:kern w:val="0"/>
                <w:sz w:val="24"/>
                <w:szCs w:val="24"/>
              </w:rPr>
            </w:pPr>
            <w:r>
              <w:rPr>
                <w:rFonts w:hint="eastAsia" w:ascii="宋体" w:hAnsi="宋体" w:eastAsia="宋体" w:cs="仿宋"/>
                <w:b/>
                <w:bCs/>
                <w:color w:val="000000"/>
                <w:kern w:val="0"/>
                <w:sz w:val="24"/>
                <w:szCs w:val="24"/>
              </w:rPr>
              <w:t>描述</w:t>
            </w:r>
          </w:p>
        </w:tc>
        <w:tc>
          <w:tcPr>
            <w:tcW w:w="992" w:type="dxa"/>
            <w:shd w:val="clear" w:color="auto" w:fill="FFFFFF"/>
            <w:vAlign w:val="center"/>
          </w:tcPr>
          <w:p>
            <w:pPr>
              <w:widowControl/>
              <w:jc w:val="center"/>
              <w:rPr>
                <w:rFonts w:ascii="宋体" w:hAnsi="宋体" w:eastAsia="宋体" w:cs="仿宋"/>
                <w:b/>
                <w:bCs/>
                <w:color w:val="000000"/>
                <w:kern w:val="0"/>
                <w:sz w:val="24"/>
                <w:szCs w:val="24"/>
              </w:rPr>
            </w:pPr>
            <w:r>
              <w:rPr>
                <w:rFonts w:hint="eastAsia" w:ascii="宋体" w:hAnsi="宋体" w:eastAsia="宋体" w:cs="仿宋"/>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安全驻场服务</w:t>
            </w:r>
          </w:p>
        </w:tc>
        <w:tc>
          <w:tcPr>
            <w:tcW w:w="4449" w:type="dxa"/>
            <w:shd w:val="clear" w:color="auto" w:fill="FFFFFF"/>
            <w:vAlign w:val="center"/>
          </w:tcPr>
          <w:p>
            <w:pPr>
              <w:widowControl/>
              <w:jc w:val="left"/>
              <w:rPr>
                <w:rFonts w:hint="eastAsia" w:ascii="宋体" w:hAnsi="宋体" w:eastAsia="宋体" w:cs="仿宋"/>
                <w:color w:val="000000"/>
                <w:kern w:val="0"/>
                <w:sz w:val="22"/>
              </w:rPr>
            </w:pPr>
            <w:r>
              <w:rPr>
                <w:rFonts w:hint="eastAsia" w:ascii="宋体" w:hAnsi="宋体" w:eastAsia="宋体" w:cs="仿宋"/>
                <w:color w:val="000000"/>
                <w:kern w:val="0"/>
                <w:sz w:val="22"/>
              </w:rPr>
              <w:t>1、提供专职运维服务人员1名，大专及以上学历，半年以上安全服务经验。</w:t>
            </w:r>
          </w:p>
          <w:p>
            <w:pPr>
              <w:widowControl/>
              <w:jc w:val="left"/>
              <w:rPr>
                <w:rFonts w:hint="eastAsia" w:ascii="宋体" w:hAnsi="宋体" w:eastAsia="宋体" w:cs="仿宋"/>
                <w:color w:val="000000"/>
                <w:kern w:val="0"/>
                <w:sz w:val="22"/>
              </w:rPr>
            </w:pPr>
            <w:r>
              <w:rPr>
                <w:rFonts w:hint="eastAsia" w:ascii="宋体" w:hAnsi="宋体" w:eastAsia="宋体" w:cs="仿宋"/>
                <w:color w:val="000000"/>
                <w:kern w:val="0"/>
                <w:sz w:val="22"/>
              </w:rPr>
              <w:t>2、按照医院的作息时间上下班考勤。</w:t>
            </w:r>
          </w:p>
          <w:p>
            <w:pPr>
              <w:widowControl/>
              <w:jc w:val="left"/>
              <w:rPr>
                <w:rFonts w:hint="eastAsia" w:ascii="宋体" w:hAnsi="宋体" w:eastAsia="宋体" w:cs="仿宋"/>
                <w:color w:val="000000"/>
                <w:kern w:val="0"/>
                <w:sz w:val="22"/>
              </w:rPr>
            </w:pPr>
            <w:r>
              <w:rPr>
                <w:rFonts w:hint="eastAsia" w:ascii="宋体" w:hAnsi="宋体" w:eastAsia="宋体" w:cs="仿宋"/>
                <w:color w:val="000000"/>
                <w:kern w:val="0"/>
                <w:sz w:val="22"/>
              </w:rPr>
              <w:t>3、驻场人员需经过用户单位面试同意，人员确定后，1年服务期内不得随意变更(除用户方要求变更)。</w:t>
            </w:r>
          </w:p>
          <w:p>
            <w:pPr>
              <w:widowControl/>
              <w:jc w:val="left"/>
              <w:rPr>
                <w:rFonts w:hint="eastAsia" w:ascii="宋体" w:hAnsi="宋体" w:eastAsia="宋体" w:cs="仿宋"/>
                <w:color w:val="000000"/>
                <w:kern w:val="0"/>
                <w:sz w:val="22"/>
              </w:rPr>
            </w:pPr>
            <w:r>
              <w:rPr>
                <w:rFonts w:hint="eastAsia" w:ascii="宋体" w:hAnsi="宋体" w:eastAsia="宋体" w:cs="仿宋"/>
                <w:color w:val="000000"/>
                <w:kern w:val="0"/>
                <w:sz w:val="22"/>
              </w:rPr>
              <w:t>4、需签订保密协议，在进行服务过程中，必须遵守国家法律法规，中标方及中标方系统服务人员应妥善保管自己的用户权限，如果发生涉密，则承担相应的违约责任甚至法律责任。</w:t>
            </w:r>
          </w:p>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5、帮助医院建立从风险的发现，如漏洞、安全威胁等等，通知，整改跟进，整改落实，再次扫描，事件的确认归档等完整的安全事件闭环处理流程；安全设备巡检、故障解决、性能调优等等工作。</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2</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资产梳理</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针对医院所有生产系统及网络设备、安全设备、终端和移动终端、存储设备、应用系统，利用工具扫描资产，建立台账,通过对现有的网络环境进行资产分类，了解目前的安全现状以及薄弱性。梳理核心资产与边缘资产，核心资产重点防护，建立资产防护基线。对所有对外资产进行探测，梳理出各业务系统的资产信息，关闭对外暴露的多余端口。从而医院能更清晰明了知晓自身资产信息情况。</w:t>
            </w:r>
          </w:p>
        </w:tc>
        <w:tc>
          <w:tcPr>
            <w:tcW w:w="992" w:type="dxa"/>
            <w:shd w:val="clear" w:color="auto" w:fill="FFFFFF"/>
            <w:vAlign w:val="center"/>
          </w:tcPr>
          <w:p>
            <w:pPr>
              <w:widowControl/>
              <w:jc w:val="center"/>
              <w:rPr>
                <w:rFonts w:ascii="宋体" w:hAnsi="宋体" w:eastAsia="宋体" w:cs="仿宋"/>
                <w:color w:val="000000"/>
                <w:kern w:val="0"/>
                <w:sz w:val="22"/>
              </w:rPr>
            </w:pPr>
            <w:r>
              <w:rPr>
                <w:rFonts w:ascii="宋体" w:hAnsi="宋体" w:eastAsia="宋体" w:cs="仿宋"/>
                <w:color w:val="000000"/>
                <w:kern w:val="0"/>
                <w:sz w:val="22"/>
              </w:rPr>
              <w:t>2</w:t>
            </w:r>
            <w:r>
              <w:rPr>
                <w:rFonts w:hint="eastAsia" w:ascii="宋体" w:hAnsi="宋体" w:eastAsia="宋体" w:cs="仿宋"/>
                <w:color w:val="000000"/>
                <w:kern w:val="0"/>
                <w:sz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3</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制度梳理</w:t>
            </w:r>
          </w:p>
        </w:tc>
        <w:tc>
          <w:tcPr>
            <w:tcW w:w="4449" w:type="dxa"/>
            <w:shd w:val="clear" w:color="auto" w:fill="FFFFFF"/>
            <w:vAlign w:val="center"/>
          </w:tcPr>
          <w:p>
            <w:pPr>
              <w:widowControl/>
              <w:jc w:val="left"/>
              <w:rPr>
                <w:rFonts w:hint="eastAsia" w:ascii="宋体" w:hAnsi="宋体" w:eastAsia="宋体" w:cs="仿宋"/>
                <w:color w:val="000000"/>
                <w:kern w:val="0"/>
                <w:sz w:val="22"/>
              </w:rPr>
            </w:pPr>
            <w:r>
              <w:rPr>
                <w:rFonts w:hint="eastAsia" w:ascii="宋体" w:hAnsi="宋体" w:eastAsia="宋体" w:cs="仿宋"/>
                <w:color w:val="000000"/>
                <w:kern w:val="0"/>
                <w:sz w:val="22"/>
              </w:rPr>
              <w:t>1、针对医院现有管理制度进行梳理、完善。提供相关模板，让医院有更明确更高效性的管理制度。</w:t>
            </w:r>
          </w:p>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2、上级部门检查需要的文档。</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4</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漏洞扫描</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通过漏洞扫描工具，定期对医院的业务系统、PC、网络设备、安全设备等开展漏洞扫描工作，发现漏洞问题，给出针对性的漏洞修复建议。</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5</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基线核查</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通过基线核查工具，发现服务器、网络设备、安全设备等 IT 设备自身存在的薄弱环节，并对脆弱性进行识别、分析、修补、检验，消除，降低 IT 设备的高风险隐患，防范安全事件发生，避免信息系统脆弱性被非法利用，增强信息系统安全防范能力，保障业务的可持续性。</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6</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应急演练服务</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提供应急演练服务，模拟黑客攻击，发起各类攻击事件，防守方检测和发现外部攻击，并对攻击采取相应的防护措施，导演方负责演练导演、监控进程、全程指导、应急处置、演习总结、技术措施与策略优化建议等技术咨询工作。</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7</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安全培训服务</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提供安全培训服务，通过安全专题培训的学习，进一步提高领导对信息安全工作的重视，加强提升信息安全主管部门专业化工作水平，保障业务连续稳定。</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8</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重点保障服务</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提供重要时刻安全保障服务，在重大节假日及检查行动中提供重要时期安全保障服务，进行安全保障工作，节假日前进行安全评估。针对如元旦、春节、两会、七一建党节、国庆等重大节假日时期提供重要的安全保障服务，突发紧急信息安全事件上门服务或协助完成市及区、行业等上级主管部门下发的联合检查其他检查指标及要求。</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9</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安全运营托管服务</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提供安全托管服务，主要是利用安全组件、云端安全运营平台、云端服务专家（即技术+人员+流程）的组合优势，建立7*24小时的持续、闭环、主动的安全运营体系，帮助用户提前预警，快速研判，精准响应。同时提供安全体系建设规划的数据支撑，为安全建设提供正确的决策因素，提供50个资产授权。</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w:t>
            </w:r>
            <w:r>
              <w:rPr>
                <w:rFonts w:ascii="宋体" w:hAnsi="宋体" w:eastAsia="宋体" w:cs="仿宋"/>
                <w:color w:val="000000"/>
                <w:kern w:val="0"/>
                <w:sz w:val="22"/>
              </w:rPr>
              <w:t>0</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渗透测试</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对应用系统模拟黑客攻击进行安全性测试，发现系统存在的安全问题，并对过程中发现的问题及风险提出安全加固建议，推动安全问题整改，并在整改后对应用系统进行复测。</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2</w:t>
            </w:r>
            <w:r>
              <w:rPr>
                <w:rFonts w:ascii="宋体" w:hAnsi="宋体" w:eastAsia="宋体" w:cs="仿宋"/>
                <w:color w:val="000000"/>
                <w:kern w:val="0"/>
                <w:sz w:val="22"/>
              </w:rPr>
              <w:t>5</w:t>
            </w:r>
            <w:r>
              <w:rPr>
                <w:rFonts w:hint="eastAsia" w:ascii="宋体" w:hAnsi="宋体" w:eastAsia="宋体" w:cs="仿宋"/>
                <w:color w:val="000000"/>
                <w:kern w:val="0"/>
                <w:sz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w:t>
            </w:r>
            <w:r>
              <w:rPr>
                <w:rFonts w:ascii="宋体" w:hAnsi="宋体" w:eastAsia="宋体" w:cs="仿宋"/>
                <w:color w:val="000000"/>
                <w:kern w:val="0"/>
                <w:sz w:val="22"/>
              </w:rPr>
              <w:t>1</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安全风险评估</w:t>
            </w:r>
          </w:p>
        </w:tc>
        <w:tc>
          <w:tcPr>
            <w:tcW w:w="4449" w:type="dxa"/>
            <w:shd w:val="clear" w:color="auto" w:fill="FFFFFF"/>
            <w:vAlign w:val="center"/>
          </w:tcPr>
          <w:p>
            <w:pPr>
              <w:widowControl/>
              <w:jc w:val="left"/>
              <w:rPr>
                <w:rFonts w:hint="eastAsia" w:ascii="宋体" w:hAnsi="宋体" w:eastAsia="宋体" w:cs="仿宋"/>
                <w:color w:val="000000"/>
                <w:kern w:val="0"/>
                <w:sz w:val="22"/>
              </w:rPr>
            </w:pPr>
            <w:r>
              <w:rPr>
                <w:rFonts w:hint="eastAsia" w:ascii="宋体" w:hAnsi="宋体" w:eastAsia="宋体" w:cs="仿宋"/>
                <w:color w:val="000000"/>
                <w:kern w:val="0"/>
                <w:sz w:val="22"/>
              </w:rPr>
              <w:t>1.资产识别：通过安全访谈和调研的方式，梳理信息系统资产和业务环境状况；</w:t>
            </w:r>
          </w:p>
          <w:p>
            <w:pPr>
              <w:widowControl/>
              <w:jc w:val="left"/>
              <w:rPr>
                <w:rFonts w:hint="eastAsia" w:ascii="宋体" w:hAnsi="宋体" w:eastAsia="宋体" w:cs="仿宋"/>
                <w:color w:val="000000"/>
                <w:kern w:val="0"/>
                <w:sz w:val="22"/>
              </w:rPr>
            </w:pPr>
            <w:r>
              <w:rPr>
                <w:rFonts w:hint="eastAsia" w:ascii="宋体" w:hAnsi="宋体" w:eastAsia="宋体" w:cs="仿宋"/>
                <w:color w:val="000000"/>
                <w:kern w:val="0"/>
                <w:sz w:val="22"/>
              </w:rPr>
              <w:t>2.脆弱性评估：通过漏洞扫描、基线核查、漏洞验证等手段，识别业务系统安全脆弱性风险；</w:t>
            </w:r>
          </w:p>
          <w:p>
            <w:pPr>
              <w:widowControl/>
              <w:jc w:val="left"/>
              <w:rPr>
                <w:rFonts w:hint="eastAsia" w:ascii="宋体" w:hAnsi="宋体" w:eastAsia="宋体" w:cs="仿宋"/>
                <w:color w:val="000000"/>
                <w:kern w:val="0"/>
                <w:sz w:val="22"/>
              </w:rPr>
            </w:pPr>
            <w:r>
              <w:rPr>
                <w:rFonts w:hint="eastAsia" w:ascii="宋体" w:hAnsi="宋体" w:eastAsia="宋体" w:cs="仿宋"/>
                <w:color w:val="000000"/>
                <w:kern w:val="0"/>
                <w:sz w:val="22"/>
              </w:rPr>
              <w:t>3.威胁评估：通过资产所处的环境条件和资产以前遭受威胁损害的情况，和重要资产的脆弱性情况，直接获得重要资产可能遭受哪些具体威胁的破坏，或对一些安全事件表面现象进行分析后，间接获得安全事件背后的威胁；</w:t>
            </w:r>
          </w:p>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4.安全整改建议：基于安全评估结果分析信息系统安全风险和威胁，给出针对性的风险处理方案。</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w:t>
            </w:r>
            <w:r>
              <w:rPr>
                <w:rFonts w:ascii="宋体" w:hAnsi="宋体" w:eastAsia="宋体" w:cs="仿宋"/>
                <w:color w:val="000000"/>
                <w:kern w:val="0"/>
                <w:sz w:val="22"/>
              </w:rPr>
              <w:t>2</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上级安全检查迎检</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根据卫健委加强网络与数据安全工作实施方案的通知或上级安全主管单位的政策、文件、安全专项检查的指标要求，开展安全自查、技术防护措施和安全整改及本年度的安全迎检工作。</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w:t>
            </w:r>
            <w:r>
              <w:rPr>
                <w:rFonts w:ascii="宋体" w:hAnsi="宋体" w:eastAsia="宋体" w:cs="仿宋"/>
                <w:color w:val="000000"/>
                <w:kern w:val="0"/>
                <w:sz w:val="22"/>
              </w:rPr>
              <w:t>3</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等保测评整改</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协助医院重要系统开展网络安全等级保护相关工作，对信息系统的定期情况进行梳理，协助对未定级系统进行定级、备案，配合第三方测评机构对系统进行测评，根据测评结果协助医院进行整改。</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w:t>
            </w:r>
            <w:r>
              <w:rPr>
                <w:rFonts w:ascii="宋体" w:hAnsi="宋体" w:eastAsia="宋体" w:cs="仿宋"/>
                <w:color w:val="000000"/>
                <w:kern w:val="0"/>
                <w:sz w:val="22"/>
              </w:rPr>
              <w:t>4</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新系统上线安全评估</w:t>
            </w:r>
          </w:p>
        </w:tc>
        <w:tc>
          <w:tcPr>
            <w:tcW w:w="4449" w:type="dxa"/>
            <w:shd w:val="clear" w:color="auto" w:fill="FFFFFF"/>
            <w:vAlign w:val="center"/>
          </w:tcPr>
          <w:p>
            <w:pPr>
              <w:pStyle w:val="2"/>
              <w:ind w:left="0"/>
              <w:rPr>
                <w:rFonts w:cs="仿宋"/>
                <w:color w:val="000000"/>
                <w:sz w:val="22"/>
                <w:szCs w:val="22"/>
                <w:lang w:val="en-US" w:bidi="ar-SA"/>
              </w:rPr>
            </w:pPr>
            <w:r>
              <w:rPr>
                <w:rFonts w:hint="eastAsia" w:cs="仿宋"/>
                <w:color w:val="000000"/>
                <w:sz w:val="22"/>
                <w:szCs w:val="22"/>
                <w:lang w:val="en-US" w:bidi="ar-SA"/>
              </w:rPr>
              <w:t>通过上线前的检测工作，对应用系统所覆盖的全部资产再次进行确认识别，完成对应用系统等级保护建设措施落实情况的合规性分析，对应用系统等级保护实施的各项安全措施和管理制度进行全面的风险评估，明确残余风险。</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8" w:hRule="atLeast"/>
          <w:jc w:val="center"/>
        </w:trPr>
        <w:tc>
          <w:tcPr>
            <w:tcW w:w="915"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w:t>
            </w:r>
            <w:r>
              <w:rPr>
                <w:rFonts w:ascii="宋体" w:hAnsi="宋体" w:eastAsia="宋体" w:cs="仿宋"/>
                <w:color w:val="000000"/>
                <w:kern w:val="0"/>
                <w:sz w:val="22"/>
              </w:rPr>
              <w:t>5</w:t>
            </w:r>
          </w:p>
        </w:tc>
        <w:tc>
          <w:tcPr>
            <w:tcW w:w="1183"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移动资产攻击面监测订阅服务</w:t>
            </w:r>
          </w:p>
        </w:tc>
        <w:tc>
          <w:tcPr>
            <w:tcW w:w="4449" w:type="dxa"/>
            <w:shd w:val="clear" w:color="auto" w:fill="FFFFFF"/>
            <w:vAlign w:val="center"/>
          </w:tcPr>
          <w:p>
            <w:pPr>
              <w:widowControl/>
              <w:jc w:val="left"/>
              <w:rPr>
                <w:rFonts w:ascii="宋体" w:hAnsi="宋体" w:eastAsia="宋体" w:cs="仿宋"/>
                <w:color w:val="000000"/>
                <w:kern w:val="0"/>
                <w:sz w:val="22"/>
              </w:rPr>
            </w:pPr>
            <w:r>
              <w:rPr>
                <w:rFonts w:hint="eastAsia" w:ascii="宋体" w:hAnsi="宋体" w:eastAsia="宋体" w:cs="仿宋"/>
                <w:color w:val="000000"/>
                <w:kern w:val="0"/>
                <w:sz w:val="22"/>
              </w:rPr>
              <w:t>移动资产SaaS一年订阅服务，包含微信公众号、小程序及暴露链接监测；资产发现；资产风险发现；数据泄漏排查服务。</w:t>
            </w:r>
          </w:p>
        </w:tc>
        <w:tc>
          <w:tcPr>
            <w:tcW w:w="992" w:type="dxa"/>
            <w:shd w:val="clear" w:color="auto" w:fill="FFFFFF"/>
            <w:vAlign w:val="center"/>
          </w:tcPr>
          <w:p>
            <w:pPr>
              <w:widowControl/>
              <w:jc w:val="center"/>
              <w:rPr>
                <w:rFonts w:ascii="宋体" w:hAnsi="宋体" w:eastAsia="宋体" w:cs="仿宋"/>
                <w:color w:val="000000"/>
                <w:kern w:val="0"/>
                <w:sz w:val="22"/>
              </w:rPr>
            </w:pPr>
            <w:r>
              <w:rPr>
                <w:rFonts w:hint="eastAsia" w:ascii="宋体" w:hAnsi="宋体" w:eastAsia="宋体" w:cs="仿宋"/>
                <w:color w:val="000000"/>
                <w:kern w:val="0"/>
                <w:sz w:val="22"/>
              </w:rPr>
              <w:t>1项</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50240"/>
    <w:multiLevelType w:val="multilevel"/>
    <w:tmpl w:val="51450240"/>
    <w:lvl w:ilvl="0" w:tentative="0">
      <w:start w:val="1"/>
      <w:numFmt w:val="decimal"/>
      <w:pStyle w:val="4"/>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YmQ5NWVhNTJiNjQxYjNiNWIzY2NhNjU1MGQ4YmQifQ=="/>
  </w:docVars>
  <w:rsids>
    <w:rsidRoot w:val="000A52F5"/>
    <w:rsid w:val="00066E77"/>
    <w:rsid w:val="000766E3"/>
    <w:rsid w:val="000A52F5"/>
    <w:rsid w:val="000F6A0D"/>
    <w:rsid w:val="0019269E"/>
    <w:rsid w:val="00194ED8"/>
    <w:rsid w:val="001E2EEC"/>
    <w:rsid w:val="001F7298"/>
    <w:rsid w:val="002213F7"/>
    <w:rsid w:val="00254C53"/>
    <w:rsid w:val="002648E7"/>
    <w:rsid w:val="002C20B0"/>
    <w:rsid w:val="002D605A"/>
    <w:rsid w:val="003D6B62"/>
    <w:rsid w:val="004040BD"/>
    <w:rsid w:val="005808EE"/>
    <w:rsid w:val="005A5660"/>
    <w:rsid w:val="0062637C"/>
    <w:rsid w:val="00673DD1"/>
    <w:rsid w:val="006C30F7"/>
    <w:rsid w:val="006E1B20"/>
    <w:rsid w:val="0073289C"/>
    <w:rsid w:val="00735E14"/>
    <w:rsid w:val="007648EE"/>
    <w:rsid w:val="007725FC"/>
    <w:rsid w:val="007773B9"/>
    <w:rsid w:val="00803862"/>
    <w:rsid w:val="0081596E"/>
    <w:rsid w:val="008574CE"/>
    <w:rsid w:val="00990D5D"/>
    <w:rsid w:val="009F0987"/>
    <w:rsid w:val="00A31812"/>
    <w:rsid w:val="00A444B5"/>
    <w:rsid w:val="00A557DD"/>
    <w:rsid w:val="00A64ABD"/>
    <w:rsid w:val="00AB6F80"/>
    <w:rsid w:val="00AD6A4F"/>
    <w:rsid w:val="00AE3412"/>
    <w:rsid w:val="00B475A9"/>
    <w:rsid w:val="00B53732"/>
    <w:rsid w:val="00B80838"/>
    <w:rsid w:val="00B92A6B"/>
    <w:rsid w:val="00C70F3A"/>
    <w:rsid w:val="00C82D72"/>
    <w:rsid w:val="00CC445F"/>
    <w:rsid w:val="00DC1B8E"/>
    <w:rsid w:val="00DF6404"/>
    <w:rsid w:val="00E35231"/>
    <w:rsid w:val="00EC6C09"/>
    <w:rsid w:val="00ED7F45"/>
    <w:rsid w:val="00EE2A6D"/>
    <w:rsid w:val="00EE3E73"/>
    <w:rsid w:val="00EF055A"/>
    <w:rsid w:val="00F335E5"/>
    <w:rsid w:val="00F657AD"/>
    <w:rsid w:val="00FA2CD6"/>
    <w:rsid w:val="00FD3501"/>
    <w:rsid w:val="0E727910"/>
    <w:rsid w:val="1F5A7929"/>
    <w:rsid w:val="28B962B2"/>
    <w:rsid w:val="59633A54"/>
    <w:rsid w:val="7F0A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0"/>
    <w:pPr>
      <w:keepNext/>
      <w:keepLines/>
      <w:numPr>
        <w:ilvl w:val="0"/>
        <w:numId w:val="1"/>
      </w:numPr>
      <w:spacing w:before="260" w:after="260" w:line="416" w:lineRule="auto"/>
      <w:outlineLvl w:val="2"/>
    </w:pPr>
    <w:rPr>
      <w:b/>
      <w:bCs/>
      <w:sz w:val="32"/>
      <w:szCs w:val="32"/>
    </w:rPr>
  </w:style>
  <w:style w:type="paragraph" w:styleId="5">
    <w:name w:val="heading 4"/>
    <w:basedOn w:val="1"/>
    <w:next w:val="1"/>
    <w:link w:val="1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ind w:left="638"/>
      <w:jc w:val="left"/>
    </w:pPr>
    <w:rPr>
      <w:rFonts w:ascii="宋体" w:hAnsi="宋体" w:eastAsia="宋体" w:cs="宋体"/>
      <w:kern w:val="0"/>
      <w:szCs w:val="21"/>
      <w:lang w:val="zh-CN" w:bidi="zh-CN"/>
    </w:rPr>
  </w:style>
  <w:style w:type="paragraph" w:styleId="6">
    <w:name w:val="annotation text"/>
    <w:basedOn w:val="1"/>
    <w:link w:val="21"/>
    <w:qFormat/>
    <w:uiPriority w:val="0"/>
    <w:pPr>
      <w:jc w:val="left"/>
    </w:pPr>
    <w:rPr>
      <w:rFonts w:ascii="Calibri" w:hAnsi="Calibri" w:eastAsia="宋体" w:cs="Calibri"/>
      <w:szCs w:val="21"/>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annotation reference"/>
    <w:qFormat/>
    <w:uiPriority w:val="0"/>
    <w:rPr>
      <w:sz w:val="21"/>
      <w:szCs w:val="21"/>
    </w:rPr>
  </w:style>
  <w:style w:type="paragraph" w:customStyle="1" w:styleId="13">
    <w:name w:val="列出段落1"/>
    <w:basedOn w:val="1"/>
    <w:qFormat/>
    <w:uiPriority w:val="34"/>
    <w:pPr>
      <w:ind w:firstLine="420" w:firstLineChars="200"/>
    </w:pPr>
    <w:rPr>
      <w:rFonts w:ascii="Times New Roman" w:hAnsi="Times New Roman" w:eastAsia="宋体" w:cs="Times New Roman"/>
      <w:szCs w:val="24"/>
    </w:rPr>
  </w:style>
  <w:style w:type="character" w:customStyle="1" w:styleId="14">
    <w:name w:val="正文文本 字符"/>
    <w:basedOn w:val="10"/>
    <w:link w:val="2"/>
    <w:qFormat/>
    <w:uiPriority w:val="1"/>
    <w:rPr>
      <w:rFonts w:ascii="宋体" w:hAnsi="宋体" w:eastAsia="宋体" w:cs="宋体"/>
      <w:sz w:val="21"/>
      <w:szCs w:val="21"/>
      <w:lang w:val="zh-CN" w:bidi="zh-CN"/>
    </w:rPr>
  </w:style>
  <w:style w:type="character" w:customStyle="1" w:styleId="15">
    <w:name w:val="页眉 字符"/>
    <w:basedOn w:val="10"/>
    <w:link w:val="8"/>
    <w:qFormat/>
    <w:uiPriority w:val="0"/>
    <w:rPr>
      <w:kern w:val="2"/>
      <w:sz w:val="18"/>
      <w:szCs w:val="18"/>
    </w:rPr>
  </w:style>
  <w:style w:type="character" w:customStyle="1" w:styleId="16">
    <w:name w:val="页脚 字符"/>
    <w:basedOn w:val="10"/>
    <w:link w:val="7"/>
    <w:qFormat/>
    <w:uiPriority w:val="0"/>
    <w:rPr>
      <w:kern w:val="2"/>
      <w:sz w:val="18"/>
      <w:szCs w:val="18"/>
    </w:rPr>
  </w:style>
  <w:style w:type="paragraph" w:styleId="17">
    <w:name w:val="List Paragraph"/>
    <w:basedOn w:val="1"/>
    <w:link w:val="22"/>
    <w:qFormat/>
    <w:uiPriority w:val="34"/>
    <w:pPr>
      <w:ind w:firstLine="420" w:firstLineChars="200"/>
    </w:pPr>
  </w:style>
  <w:style w:type="character" w:customStyle="1" w:styleId="18">
    <w:name w:val="标题 3 字符"/>
    <w:basedOn w:val="10"/>
    <w:link w:val="4"/>
    <w:qFormat/>
    <w:uiPriority w:val="0"/>
    <w:rPr>
      <w:b/>
      <w:bCs/>
      <w:kern w:val="2"/>
      <w:sz w:val="32"/>
      <w:szCs w:val="32"/>
    </w:rPr>
  </w:style>
  <w:style w:type="character" w:customStyle="1" w:styleId="19">
    <w:name w:val="标题 4 字符"/>
    <w:basedOn w:val="10"/>
    <w:link w:val="5"/>
    <w:semiHidden/>
    <w:qFormat/>
    <w:uiPriority w:val="0"/>
    <w:rPr>
      <w:rFonts w:asciiTheme="majorHAnsi" w:hAnsiTheme="majorHAnsi" w:eastAsiaTheme="majorEastAsia" w:cstheme="majorBidi"/>
      <w:b/>
      <w:bCs/>
      <w:kern w:val="2"/>
      <w:sz w:val="28"/>
      <w:szCs w:val="28"/>
    </w:rPr>
  </w:style>
  <w:style w:type="character" w:customStyle="1" w:styleId="20">
    <w:name w:val="批注文字 字符"/>
    <w:basedOn w:val="10"/>
    <w:qFormat/>
    <w:uiPriority w:val="0"/>
    <w:rPr>
      <w:kern w:val="2"/>
      <w:sz w:val="21"/>
      <w:szCs w:val="22"/>
    </w:rPr>
  </w:style>
  <w:style w:type="character" w:customStyle="1" w:styleId="21">
    <w:name w:val="批注文字 字符1"/>
    <w:link w:val="6"/>
    <w:qFormat/>
    <w:uiPriority w:val="0"/>
    <w:rPr>
      <w:rFonts w:ascii="Calibri" w:hAnsi="Calibri" w:eastAsia="宋体" w:cs="Calibri"/>
      <w:kern w:val="2"/>
      <w:sz w:val="21"/>
      <w:szCs w:val="21"/>
    </w:rPr>
  </w:style>
  <w:style w:type="character" w:customStyle="1" w:styleId="22">
    <w:name w:val="列表段落 字符"/>
    <w:link w:val="17"/>
    <w:qFormat/>
    <w:locked/>
    <w:uiPriority w:val="34"/>
    <w:rPr>
      <w:kern w:val="2"/>
      <w:sz w:val="21"/>
      <w:szCs w:val="22"/>
    </w:rPr>
  </w:style>
  <w:style w:type="paragraph" w:customStyle="1" w:styleId="23">
    <w:name w:val="正文缩进_0"/>
    <w:basedOn w:val="24"/>
    <w:link w:val="25"/>
    <w:qFormat/>
    <w:uiPriority w:val="0"/>
    <w:pPr>
      <w:ind w:firstLine="420"/>
    </w:pPr>
    <w:rPr>
      <w:rFonts w:ascii="Times New Roman" w:hAnsi="Times New Roman"/>
      <w:kern w:val="0"/>
      <w:szCs w:val="20"/>
      <w:lang w:val="zh-CN"/>
    </w:rPr>
  </w:style>
  <w:style w:type="paragraph" w:customStyle="1" w:styleId="24">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正文缩进 Char_0"/>
    <w:link w:val="23"/>
    <w:qFormat/>
    <w:uiPriority w:val="0"/>
    <w:rPr>
      <w:rFonts w:ascii="Times New Roman" w:hAnsi="Times New Roman" w:eastAsia="宋体" w:cs="Times New Roman"/>
      <w:sz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Pages>
  <Words>2092</Words>
  <Characters>2116</Characters>
  <Lines>17</Lines>
  <Paragraphs>4</Paragraphs>
  <TotalTime>1</TotalTime>
  <ScaleCrop>false</ScaleCrop>
  <LinksUpToDate>false</LinksUpToDate>
  <CharactersWithSpaces>2120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2022-06-22T07:21:00Z</dcterms:created>
  <dc:creator>jameszhou</dc:creator>
  <cp:lastModifiedBy>James</cp:lastModifiedBy>
  <dcterms:modified xsi:type="dcterms:W3CDTF">2023-06-09T13:03:21Z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A745778BBD1E44B195F0A8F6334971CC_13</vt:lpwstr>
  </property>
</Properties>
</file>