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spacing w:before="454" w:after="454"/>
        <w:ind w:left="454" w:right="454"/>
        <w:jc w:val="center"/>
        <w:outlineLvl w:val="0"/>
        <w:rPr>
          <w:sz w:val="40"/>
          <w:szCs w:val="40"/>
        </w:rPr>
      </w:pPr>
      <w:bookmarkStart w:id="1" w:name="_GoBack"/>
      <w:r>
        <w:rPr>
          <w:rFonts w:hint="eastAsia" w:ascii="宋体" w:hAnsi="宋体" w:cs="宋体"/>
          <w:b/>
          <w:sz w:val="28"/>
          <w:szCs w:val="28"/>
        </w:rPr>
        <w:t>南方科技大学</w:t>
      </w:r>
      <w:r>
        <w:rPr>
          <w:rFonts w:ascii="宋体" w:hAnsi="宋体" w:cs="宋体"/>
          <w:b/>
          <w:sz w:val="28"/>
          <w:szCs w:val="28"/>
        </w:rPr>
        <w:t>医院</w:t>
      </w:r>
      <w:r>
        <w:rPr>
          <w:rFonts w:hint="eastAsia" w:ascii="宋体" w:hAnsi="宋体" w:cs="宋体"/>
          <w:b/>
          <w:sz w:val="28"/>
          <w:szCs w:val="28"/>
        </w:rPr>
        <w:t>听小骨置换手术包招标要求</w:t>
      </w:r>
    </w:p>
    <w:bookmarkEnd w:id="1"/>
    <w:p>
      <w:pPr>
        <w:rPr>
          <w:rFonts w:ascii="宋体" w:hAnsi="宋体"/>
          <w:b/>
          <w:sz w:val="24"/>
        </w:rPr>
      </w:pPr>
      <w:r>
        <w:rPr>
          <w:rFonts w:hint="eastAsia" w:ascii="宋体" w:hAnsi="宋体"/>
          <w:b/>
          <w:sz w:val="24"/>
        </w:rPr>
        <w:t>一、投标人资质要求：</w:t>
      </w:r>
    </w:p>
    <w:p>
      <w:pPr>
        <w:ind w:firstLine="240" w:firstLineChars="100"/>
        <w:rPr>
          <w:rFonts w:ascii="宋体"/>
          <w:sz w:val="24"/>
        </w:rPr>
      </w:pPr>
      <w:r>
        <w:rPr>
          <w:rFonts w:ascii="宋体" w:hAnsi="宋体"/>
          <w:sz w:val="24"/>
        </w:rPr>
        <w:t>1</w:t>
      </w:r>
      <w:r>
        <w:rPr>
          <w:rFonts w:hint="eastAsia" w:ascii="宋体" w:hAnsi="宋体"/>
          <w:sz w:val="24"/>
        </w:rPr>
        <w:t>、投标人必须具有独立法人资格；</w:t>
      </w:r>
    </w:p>
    <w:p>
      <w:pPr>
        <w:ind w:firstLine="240" w:firstLineChars="100"/>
        <w:rPr>
          <w:rFonts w:ascii="宋体" w:hAnsi="宋体"/>
          <w:sz w:val="24"/>
        </w:rPr>
      </w:pPr>
      <w:r>
        <w:rPr>
          <w:rFonts w:hint="eastAsia" w:ascii="宋体" w:hAnsi="宋体"/>
          <w:sz w:val="24"/>
        </w:rPr>
        <w:t>2、若所投产品为进口产品，则投标人必须为提供所投产品的制造商或合法代理商或合法授权供应商（提供相关证明）；若所投产品是国内产品（非进口产品），则投标人不需要提供其为所投产品的制造商或合法代理商或合法授权供应商的证明；</w:t>
      </w:r>
    </w:p>
    <w:p>
      <w:pPr>
        <w:ind w:firstLine="240" w:firstLineChars="100"/>
        <w:rPr>
          <w:rFonts w:ascii="宋体" w:hAnsi="宋体"/>
          <w:sz w:val="24"/>
        </w:rPr>
      </w:pPr>
      <w:r>
        <w:rPr>
          <w:rFonts w:hint="eastAsia" w:ascii="宋体" w:hAnsi="宋体"/>
          <w:sz w:val="24"/>
        </w:rPr>
        <w:t>3、投标人提供针对所投产品的《医疗器械备案凭证》或《医疗器械注册证》或非医疗器械说明；</w:t>
      </w:r>
    </w:p>
    <w:p>
      <w:pPr>
        <w:ind w:firstLine="240" w:firstLineChars="100"/>
        <w:rPr>
          <w:rFonts w:ascii="宋体" w:hAnsi="宋体"/>
          <w:sz w:val="24"/>
        </w:rPr>
      </w:pPr>
      <w:r>
        <w:rPr>
          <w:rFonts w:hint="eastAsia" w:ascii="宋体" w:hAnsi="宋体"/>
          <w:sz w:val="24"/>
        </w:rPr>
        <w:t>4、投标人所投产品为III类医疗器械的必须具有《医疗器械经营许可证》或《医疗器械生产许可证》；</w:t>
      </w:r>
    </w:p>
    <w:p>
      <w:pPr>
        <w:ind w:firstLine="240" w:firstLineChars="100"/>
        <w:rPr>
          <w:rFonts w:ascii="宋体" w:hAnsi="宋体"/>
          <w:sz w:val="24"/>
        </w:rPr>
      </w:pPr>
      <w:r>
        <w:rPr>
          <w:rFonts w:hint="eastAsia" w:ascii="宋体" w:hAnsi="宋体"/>
          <w:sz w:val="24"/>
        </w:rPr>
        <w:t>5、本项目不接受联合体投标人。</w:t>
      </w:r>
    </w:p>
    <w:p>
      <w:pPr>
        <w:rPr>
          <w:rFonts w:ascii="宋体" w:hAnsi="宋体"/>
          <w:b/>
          <w:sz w:val="24"/>
        </w:rPr>
      </w:pPr>
      <w:r>
        <w:rPr>
          <w:rFonts w:hint="eastAsia" w:ascii="宋体" w:hAnsi="宋体"/>
          <w:b/>
          <w:sz w:val="24"/>
        </w:rPr>
        <w:t>二、货物清单:</w:t>
      </w:r>
    </w:p>
    <w:tbl>
      <w:tblPr>
        <w:tblStyle w:val="54"/>
        <w:tblW w:w="8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2916"/>
        <w:gridCol w:w="1018"/>
        <w:gridCol w:w="993"/>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6" w:type="dxa"/>
            <w:vAlign w:val="center"/>
          </w:tcPr>
          <w:p>
            <w:pPr>
              <w:jc w:val="center"/>
              <w:rPr>
                <w:b/>
                <w:bCs/>
                <w:color w:val="000000" w:themeColor="text1"/>
                <w:szCs w:val="21"/>
              </w:rPr>
            </w:pPr>
            <w:r>
              <w:rPr>
                <w:rFonts w:hint="eastAsia"/>
                <w:b/>
                <w:bCs/>
                <w:color w:val="000000" w:themeColor="text1"/>
                <w:szCs w:val="21"/>
              </w:rPr>
              <w:t>序号</w:t>
            </w:r>
          </w:p>
        </w:tc>
        <w:tc>
          <w:tcPr>
            <w:tcW w:w="2916" w:type="dxa"/>
            <w:vAlign w:val="center"/>
          </w:tcPr>
          <w:p>
            <w:pPr>
              <w:jc w:val="center"/>
              <w:rPr>
                <w:b/>
                <w:bCs/>
                <w:color w:val="000000" w:themeColor="text1"/>
                <w:szCs w:val="21"/>
              </w:rPr>
            </w:pPr>
            <w:r>
              <w:rPr>
                <w:rFonts w:hint="eastAsia"/>
                <w:b/>
                <w:bCs/>
                <w:color w:val="000000" w:themeColor="text1"/>
                <w:szCs w:val="21"/>
              </w:rPr>
              <w:t>货物名称</w:t>
            </w:r>
          </w:p>
        </w:tc>
        <w:tc>
          <w:tcPr>
            <w:tcW w:w="1018" w:type="dxa"/>
            <w:vAlign w:val="center"/>
          </w:tcPr>
          <w:p>
            <w:pPr>
              <w:jc w:val="center"/>
              <w:rPr>
                <w:b/>
                <w:bCs/>
                <w:color w:val="000000" w:themeColor="text1"/>
                <w:szCs w:val="21"/>
              </w:rPr>
            </w:pPr>
            <w:r>
              <w:rPr>
                <w:rFonts w:hint="eastAsia"/>
                <w:b/>
                <w:bCs/>
                <w:color w:val="000000" w:themeColor="text1"/>
                <w:szCs w:val="21"/>
              </w:rPr>
              <w:t>数量</w:t>
            </w:r>
          </w:p>
        </w:tc>
        <w:tc>
          <w:tcPr>
            <w:tcW w:w="993" w:type="dxa"/>
            <w:vAlign w:val="center"/>
          </w:tcPr>
          <w:p>
            <w:pPr>
              <w:jc w:val="center"/>
              <w:rPr>
                <w:b/>
                <w:bCs/>
                <w:color w:val="000000" w:themeColor="text1"/>
                <w:szCs w:val="21"/>
              </w:rPr>
            </w:pPr>
            <w:r>
              <w:rPr>
                <w:rFonts w:hint="eastAsia"/>
                <w:b/>
                <w:bCs/>
                <w:color w:val="000000" w:themeColor="text1"/>
                <w:szCs w:val="21"/>
              </w:rPr>
              <w:t>单位</w:t>
            </w:r>
          </w:p>
        </w:tc>
        <w:tc>
          <w:tcPr>
            <w:tcW w:w="2194" w:type="dxa"/>
            <w:vAlign w:val="center"/>
          </w:tcPr>
          <w:p>
            <w:pPr>
              <w:jc w:val="center"/>
              <w:rPr>
                <w:b/>
                <w:bCs/>
                <w:color w:val="000000" w:themeColor="text1"/>
                <w:szCs w:val="21"/>
              </w:rPr>
            </w:pPr>
            <w:r>
              <w:rPr>
                <w:rFonts w:hint="eastAsia"/>
                <w:b/>
                <w:bCs/>
                <w:color w:val="000000" w:themeColor="text1"/>
                <w:szCs w:val="21"/>
              </w:rPr>
              <w:t>预算金额</w:t>
            </w:r>
          </w:p>
          <w:p>
            <w:pPr>
              <w:jc w:val="center"/>
              <w:rPr>
                <w:b/>
                <w:bCs/>
                <w:color w:val="000000" w:themeColor="text1"/>
                <w:szCs w:val="21"/>
              </w:rPr>
            </w:pPr>
            <w:r>
              <w:rPr>
                <w:rFonts w:hint="eastAsia"/>
                <w:b/>
                <w:bCs/>
                <w:color w:val="000000" w:themeColor="text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96" w:type="dxa"/>
            <w:vAlign w:val="center"/>
          </w:tcPr>
          <w:p>
            <w:pPr>
              <w:jc w:val="center"/>
              <w:rPr>
                <w:rFonts w:hint="eastAsia" w:eastAsia="宋体"/>
                <w:b/>
                <w:bCs/>
                <w:color w:val="000000" w:themeColor="text1"/>
                <w:szCs w:val="21"/>
                <w:lang w:val="en-US" w:eastAsia="zh-CN"/>
              </w:rPr>
            </w:pPr>
            <w:r>
              <w:rPr>
                <w:rFonts w:hint="eastAsia"/>
                <w:b/>
                <w:bCs/>
                <w:color w:val="000000" w:themeColor="text1"/>
                <w:szCs w:val="21"/>
                <w:lang w:val="en-US" w:eastAsia="zh-CN"/>
              </w:rPr>
              <w:t>1</w:t>
            </w:r>
          </w:p>
        </w:tc>
        <w:tc>
          <w:tcPr>
            <w:tcW w:w="2916" w:type="dxa"/>
            <w:vAlign w:val="center"/>
          </w:tcPr>
          <w:p>
            <w:pPr>
              <w:jc w:val="center"/>
              <w:rPr>
                <w:b/>
                <w:bCs/>
                <w:color w:val="000000" w:themeColor="text1"/>
                <w:szCs w:val="21"/>
              </w:rPr>
            </w:pPr>
            <w:r>
              <w:rPr>
                <w:rFonts w:hint="eastAsia" w:ascii="宋体" w:hAnsi="宋体"/>
                <w:sz w:val="24"/>
              </w:rPr>
              <w:t>听小骨置换手术包</w:t>
            </w:r>
          </w:p>
        </w:tc>
        <w:tc>
          <w:tcPr>
            <w:tcW w:w="1018" w:type="dxa"/>
            <w:vAlign w:val="center"/>
          </w:tcPr>
          <w:p>
            <w:pPr>
              <w:jc w:val="center"/>
              <w:rPr>
                <w:rFonts w:hint="eastAsia" w:eastAsia="宋体"/>
                <w:b/>
                <w:bCs/>
                <w:color w:val="000000" w:themeColor="text1"/>
                <w:szCs w:val="21"/>
                <w:lang w:val="en-US" w:eastAsia="zh-CN"/>
              </w:rPr>
            </w:pPr>
            <w:r>
              <w:rPr>
                <w:rFonts w:hint="eastAsia"/>
                <w:b/>
                <w:bCs/>
                <w:color w:val="000000" w:themeColor="text1"/>
                <w:szCs w:val="21"/>
                <w:lang w:val="en-US" w:eastAsia="zh-CN"/>
              </w:rPr>
              <w:t>1</w:t>
            </w:r>
          </w:p>
        </w:tc>
        <w:tc>
          <w:tcPr>
            <w:tcW w:w="993" w:type="dxa"/>
            <w:vAlign w:val="center"/>
          </w:tcPr>
          <w:p>
            <w:pPr>
              <w:jc w:val="center"/>
              <w:rPr>
                <w:rFonts w:hint="eastAsia" w:eastAsia="宋体"/>
                <w:b/>
                <w:bCs/>
                <w:color w:val="000000" w:themeColor="text1"/>
                <w:szCs w:val="21"/>
                <w:lang w:eastAsia="zh-CN"/>
              </w:rPr>
            </w:pPr>
            <w:r>
              <w:rPr>
                <w:rFonts w:hint="eastAsia"/>
                <w:b/>
                <w:bCs/>
                <w:color w:val="000000" w:themeColor="text1"/>
                <w:szCs w:val="21"/>
                <w:lang w:eastAsia="zh-CN"/>
              </w:rPr>
              <w:t>套</w:t>
            </w:r>
          </w:p>
        </w:tc>
        <w:tc>
          <w:tcPr>
            <w:tcW w:w="2194" w:type="dxa"/>
            <w:vAlign w:val="center"/>
          </w:tcPr>
          <w:p>
            <w:pPr>
              <w:jc w:val="center"/>
              <w:rPr>
                <w:b/>
                <w:bCs/>
                <w:color w:val="000000" w:themeColor="text1"/>
                <w:szCs w:val="21"/>
              </w:rPr>
            </w:pPr>
            <w:r>
              <w:rPr>
                <w:rFonts w:hint="eastAsia" w:ascii="宋体" w:hAnsi="宋体"/>
                <w:sz w:val="24"/>
              </w:rPr>
              <w:t>7</w:t>
            </w:r>
          </w:p>
        </w:tc>
      </w:tr>
    </w:tbl>
    <w:p>
      <w:pPr>
        <w:pStyle w:val="6"/>
        <w:spacing w:beforeLines="50" w:afterLines="50"/>
        <w:jc w:val="both"/>
        <w:rPr>
          <w:bCs w:val="0"/>
          <w:kern w:val="2"/>
          <w:szCs w:val="24"/>
        </w:rPr>
      </w:pPr>
      <w:r>
        <w:rPr>
          <w:rFonts w:hint="eastAsia"/>
          <w:bCs w:val="0"/>
          <w:kern w:val="2"/>
          <w:szCs w:val="24"/>
        </w:rPr>
        <w:t xml:space="preserve">三、具体技术要求  </w:t>
      </w:r>
    </w:p>
    <w:tbl>
      <w:tblPr>
        <w:tblStyle w:val="54"/>
        <w:tblW w:w="804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76"/>
        <w:gridCol w:w="481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71" w:type="dxa"/>
            <w:vAlign w:val="center"/>
          </w:tcPr>
          <w:p>
            <w:pPr>
              <w:jc w:val="center"/>
              <w:rPr>
                <w:rFonts w:ascii="宋体" w:hAnsi="宋体"/>
                <w:szCs w:val="21"/>
              </w:rPr>
            </w:pPr>
            <w:r>
              <w:rPr>
                <w:rFonts w:hint="eastAsia" w:ascii="宋体" w:hAnsi="宋体"/>
                <w:szCs w:val="21"/>
              </w:rPr>
              <w:t>序号</w:t>
            </w:r>
          </w:p>
        </w:tc>
        <w:tc>
          <w:tcPr>
            <w:tcW w:w="1276" w:type="dxa"/>
            <w:vAlign w:val="center"/>
          </w:tcPr>
          <w:p>
            <w:pPr>
              <w:jc w:val="center"/>
              <w:rPr>
                <w:rFonts w:ascii="宋体" w:hAnsi="宋体"/>
                <w:szCs w:val="21"/>
              </w:rPr>
            </w:pPr>
            <w:r>
              <w:rPr>
                <w:rFonts w:hint="eastAsia" w:ascii="宋体" w:hAnsi="宋体"/>
                <w:szCs w:val="21"/>
              </w:rPr>
              <w:t>货物名称</w:t>
            </w:r>
          </w:p>
        </w:tc>
        <w:tc>
          <w:tcPr>
            <w:tcW w:w="4819" w:type="dxa"/>
            <w:vAlign w:val="center"/>
          </w:tcPr>
          <w:p>
            <w:pPr>
              <w:jc w:val="center"/>
              <w:rPr>
                <w:rFonts w:ascii="宋体" w:hAnsi="宋体"/>
                <w:szCs w:val="21"/>
              </w:rPr>
            </w:pPr>
            <w:r>
              <w:rPr>
                <w:rFonts w:hint="eastAsia" w:ascii="宋体" w:hAnsi="宋体"/>
                <w:szCs w:val="21"/>
              </w:rPr>
              <w:t>招标技术要求</w:t>
            </w:r>
          </w:p>
        </w:tc>
        <w:tc>
          <w:tcPr>
            <w:tcW w:w="1276"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restart"/>
            <w:vAlign w:val="center"/>
          </w:tcPr>
          <w:p>
            <w:pPr>
              <w:widowControl/>
              <w:jc w:val="both"/>
              <w:rPr>
                <w:rFonts w:hint="eastAsia" w:ascii="宋体" w:hAnsi="宋体" w:eastAsia="宋体"/>
                <w:b/>
                <w:kern w:val="0"/>
                <w:szCs w:val="21"/>
                <w:lang w:val="en-US" w:eastAsia="zh-CN"/>
              </w:rPr>
            </w:pPr>
            <w:r>
              <w:rPr>
                <w:rFonts w:hint="eastAsia" w:ascii="宋体" w:hAnsi="宋体"/>
                <w:b/>
                <w:kern w:val="0"/>
                <w:szCs w:val="21"/>
                <w:lang w:val="en-US" w:eastAsia="zh-CN"/>
              </w:rPr>
              <w:t>1</w:t>
            </w:r>
          </w:p>
        </w:tc>
        <w:tc>
          <w:tcPr>
            <w:tcW w:w="1276" w:type="dxa"/>
            <w:vMerge w:val="restart"/>
            <w:vAlign w:val="center"/>
          </w:tcPr>
          <w:p>
            <w:pPr>
              <w:widowControl/>
              <w:jc w:val="both"/>
              <w:rPr>
                <w:rFonts w:ascii="宋体" w:hAnsi="宋体"/>
                <w:kern w:val="0"/>
                <w:szCs w:val="21"/>
              </w:rPr>
            </w:pPr>
            <w:r>
              <w:rPr>
                <w:rFonts w:hint="eastAsia" w:ascii="宋体" w:hAnsi="宋体"/>
                <w:sz w:val="24"/>
              </w:rPr>
              <w:t>听小骨置换手术包</w:t>
            </w:r>
          </w:p>
        </w:tc>
        <w:tc>
          <w:tcPr>
            <w:tcW w:w="4819" w:type="dxa"/>
          </w:tcPr>
          <w:p>
            <w:pPr>
              <w:widowControl/>
              <w:jc w:val="left"/>
              <w:rPr>
                <w:rFonts w:ascii="宋体" w:hAnsi="宋体"/>
                <w:kern w:val="0"/>
                <w:szCs w:val="21"/>
              </w:rPr>
            </w:pPr>
            <w:r>
              <w:rPr>
                <w:rFonts w:hint="eastAsia" w:ascii="宋体" w:hAnsi="宋体"/>
                <w:sz w:val="24"/>
              </w:rPr>
              <w:t>镫骨剪，左弯2.0x0.8x1.8mm，工作距离80mm</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sz w:val="24"/>
              </w:rPr>
              <w:t>镫骨剪，右弯2.0x0.8x1.8mm，工作距离80mm</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sz w:val="24"/>
              </w:rPr>
              <w:t>抓紧钳，1.8x0.8x6mm，直头，工作距离80mm</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sz w:val="24"/>
              </w:rPr>
              <w:t>卵圆钳，1.8x0.9x4.5mm，直头，工作距离80mm</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sz w:val="24"/>
              </w:rPr>
              <w:t>锤骨钳，上切，2.0x1.6x0.8x3.5mm，工作距离80mm</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sz w:val="24"/>
              </w:rPr>
              <w:t>锤骨钳，下切，2.0x1.6x0.8x3.5mm，工作距离80mm</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sz w:val="24"/>
              </w:rPr>
              <w:t>耳针，160mm,直头,锋利，16cm</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b/>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sz w:val="24"/>
              </w:rPr>
              <w:t>耳针，弯头，16cm</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sz w:val="24"/>
              </w:rPr>
              <w:t>耳针，大弯，16cm</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sz w:val="24"/>
              </w:rPr>
              <w:t>耳针，微弯，16cm</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sz w:val="24"/>
              </w:rPr>
              <w:t>圆盘耳刀，45°，ø2.6mm，16cm</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sz w:val="24"/>
              </w:rPr>
              <w:t>圆盘耳刀，45°，ø2.0mm，16cm</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sz w:val="24"/>
              </w:rPr>
              <w:t>反向耳钩，16cm</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sz w:val="24"/>
              </w:rPr>
              <w:t>耳刀，2.4x3mm，16cm</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sz w:val="24"/>
              </w:rPr>
              <w:t>角度圆盘刀，16cm</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pPr>
            <w:r>
              <w:rPr>
                <w:rFonts w:hint="eastAsia" w:ascii="宋体" w:hAnsi="宋体"/>
                <w:sz w:val="24"/>
              </w:rPr>
              <w:t>耳剥离子，双弯头，左弯，16cm</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pPr>
            <w:r>
              <w:rPr>
                <w:rFonts w:hint="eastAsia" w:ascii="宋体" w:hAnsi="宋体"/>
                <w:sz w:val="24"/>
              </w:rPr>
              <w:t>耳剥离子，双弯头，右弯，16cm</w:t>
            </w:r>
          </w:p>
        </w:tc>
        <w:tc>
          <w:tcPr>
            <w:tcW w:w="1276" w:type="dxa"/>
          </w:tcPr>
          <w:p>
            <w:pPr>
              <w:widowControl/>
              <w:jc w:val="left"/>
              <w:rPr>
                <w:rFonts w:ascii="宋体" w:hAnsi="宋体"/>
                <w:kern w:val="0"/>
                <w:szCs w:val="21"/>
              </w:rPr>
            </w:pPr>
          </w:p>
        </w:tc>
      </w:tr>
    </w:tbl>
    <w:p>
      <w:pPr>
        <w:widowControl/>
        <w:jc w:val="left"/>
        <w:rPr>
          <w:rFonts w:ascii="宋体" w:hAnsi="宋体"/>
          <w:kern w:val="0"/>
          <w:szCs w:val="21"/>
        </w:rPr>
      </w:pPr>
    </w:p>
    <w:p>
      <w:pPr>
        <w:ind w:firstLine="422" w:firstLineChars="200"/>
        <w:rPr>
          <w:b/>
        </w:rPr>
      </w:pPr>
      <w:r>
        <w:rPr>
          <w:rFonts w:hint="eastAsia"/>
          <w:b/>
          <w:szCs w:val="21"/>
        </w:rPr>
        <w:t>说明：</w:t>
      </w:r>
      <w:r>
        <w:rPr>
          <w:b/>
          <w:szCs w:val="21"/>
        </w:rPr>
        <w:t xml:space="preserve"> </w:t>
      </w:r>
    </w:p>
    <w:p>
      <w:pPr>
        <w:ind w:firstLine="422" w:firstLineChars="200"/>
        <w:rPr>
          <w:b/>
          <w:color w:val="FF0000"/>
        </w:rPr>
      </w:pPr>
      <w:r>
        <w:rPr>
          <w:rFonts w:hint="eastAsia"/>
          <w:b/>
          <w:color w:val="FF0000"/>
        </w:rPr>
        <w:t>1、本项目技术需求中要求提供的各项证明材料均提供扫描件，原件备查。如投标人未按要求提供的，或提供的材料未能证明所投产品响应情况的，则该参数视为没有满足招标文件要求，将根据参数情况产生以下影响：</w:t>
      </w:r>
    </w:p>
    <w:p>
      <w:pPr>
        <w:ind w:firstLine="422" w:firstLineChars="200"/>
        <w:rPr>
          <w:b/>
          <w:color w:val="FF0000"/>
        </w:rPr>
      </w:pPr>
      <w:r>
        <w:rPr>
          <w:rFonts w:hint="eastAsia"/>
          <w:b/>
          <w:color w:val="FF0000"/>
        </w:rPr>
        <w:t>（</w:t>
      </w:r>
      <w:r>
        <w:rPr>
          <w:b/>
          <w:color w:val="FF0000"/>
        </w:rPr>
        <w:t>1</w:t>
      </w:r>
      <w:r>
        <w:rPr>
          <w:rFonts w:hint="eastAsia"/>
          <w:b/>
          <w:color w:val="FF0000"/>
        </w:rPr>
        <w:t>）如项目技术要求中设置了“★”号的参数，则该项参数为关键性技术指标，投标人所投产品必须满足，否则视为没有实质性满足招标文件要求。</w:t>
      </w:r>
    </w:p>
    <w:p>
      <w:pPr>
        <w:ind w:firstLine="422" w:firstLineChars="200"/>
        <w:rPr>
          <w:b/>
          <w:color w:val="FF0000"/>
        </w:rPr>
      </w:pPr>
      <w:r>
        <w:rPr>
          <w:rFonts w:hint="eastAsia"/>
          <w:b/>
          <w:color w:val="FF0000"/>
        </w:rPr>
        <w:t>（</w:t>
      </w:r>
      <w:r>
        <w:rPr>
          <w:b/>
          <w:color w:val="FF0000"/>
        </w:rPr>
        <w:t>2</w:t>
      </w:r>
      <w:r>
        <w:rPr>
          <w:rFonts w:hint="eastAsia"/>
          <w:b/>
          <w:color w:val="FF0000"/>
        </w:rPr>
        <w:t>）如项目技术要求中设置了“▲”号的参数，则该项参数为重要技术指标，将在“产品技术指标符合程度评价”评分项中作为重点评价指标。</w:t>
      </w:r>
    </w:p>
    <w:p>
      <w:pPr>
        <w:ind w:firstLine="422" w:firstLineChars="200"/>
        <w:rPr>
          <w:b/>
          <w:color w:val="FF0000"/>
        </w:rPr>
      </w:pPr>
      <w:r>
        <w:rPr>
          <w:rFonts w:hint="eastAsia"/>
          <w:b/>
          <w:color w:val="FF0000"/>
        </w:rPr>
        <w:t>（</w:t>
      </w:r>
      <w:r>
        <w:rPr>
          <w:b/>
          <w:color w:val="FF0000"/>
        </w:rPr>
        <w:t>3</w:t>
      </w:r>
      <w:r>
        <w:rPr>
          <w:rFonts w:hint="eastAsia"/>
          <w:b/>
          <w:color w:val="FF0000"/>
        </w:rPr>
        <w:t>）如项目技术要求中未设置“★”或“▲”号的参数，则该项参数为普通技术指标，将在“产品技术指标符合程度评价”评分项中作为评价指标。</w:t>
      </w:r>
    </w:p>
    <w:p>
      <w:pPr>
        <w:ind w:firstLine="422" w:firstLineChars="200"/>
        <w:rPr>
          <w:b/>
          <w:highlight w:val="none"/>
        </w:rPr>
      </w:pPr>
      <w:r>
        <w:rPr>
          <w:rFonts w:hint="eastAsia"/>
          <w:b/>
          <w:highlight w:val="none"/>
        </w:rPr>
        <w:t>3、</w:t>
      </w:r>
      <w:r>
        <w:rPr>
          <w:rFonts w:hint="eastAsia"/>
          <w:b/>
          <w:color w:val="000000" w:themeColor="text1"/>
          <w:highlight w:val="none"/>
        </w:rPr>
        <w:t>本项目技术参数中若有区间范围的参数要求，响应数值或区间包括或涵盖该区间范围的为符合招标文件要求，响应数值或区间没有完全包括或涵盖该范围的均视为负偏离。（例如：某货物技术参数要求“浅表探头：频率范围5.0-13.0MHz”，如频率范围响应4.0-14.0MHz或5.0- 15.0MHz或3.0-13.0MHz为符合要求；如响应6.0-12.0MHz、1.0-12.0MHz、7.0-15.0MHz、10.0MHz此类响应均为负偏离。）</w:t>
      </w:r>
    </w:p>
    <w:p>
      <w:pPr>
        <w:widowControl/>
        <w:jc w:val="left"/>
        <w:rPr>
          <w:rFonts w:ascii="宋体" w:hAnsi="宋体"/>
          <w:kern w:val="0"/>
          <w:szCs w:val="21"/>
        </w:rPr>
      </w:pPr>
    </w:p>
    <w:p>
      <w:pPr>
        <w:widowControl/>
        <w:jc w:val="left"/>
        <w:rPr>
          <w:rFonts w:ascii="宋体" w:hAnsi="宋体"/>
          <w:kern w:val="0"/>
          <w:szCs w:val="21"/>
        </w:rPr>
      </w:pPr>
    </w:p>
    <w:p>
      <w:pPr>
        <w:pStyle w:val="6"/>
        <w:spacing w:beforeLines="50" w:afterLines="50"/>
        <w:jc w:val="both"/>
        <w:rPr>
          <w:szCs w:val="24"/>
        </w:rPr>
      </w:pPr>
      <w:r>
        <w:rPr>
          <w:rFonts w:hint="eastAsia"/>
          <w:szCs w:val="24"/>
        </w:rPr>
        <w:t>四、配置清单</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4961"/>
        <w:gridCol w:w="709"/>
        <w:gridCol w:w="709"/>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85" w:type="dxa"/>
            <w:vAlign w:val="center"/>
          </w:tcPr>
          <w:p>
            <w:pPr>
              <w:jc w:val="center"/>
              <w:rPr>
                <w:rFonts w:ascii="宋体" w:hAnsi="宋体"/>
                <w:color w:val="000000" w:themeColor="text1"/>
                <w:szCs w:val="21"/>
              </w:rPr>
            </w:pPr>
            <w:r>
              <w:rPr>
                <w:rFonts w:hint="eastAsia" w:ascii="宋体" w:hAnsi="宋体"/>
                <w:color w:val="000000" w:themeColor="text1"/>
                <w:szCs w:val="21"/>
              </w:rPr>
              <w:t>序号</w:t>
            </w:r>
          </w:p>
        </w:tc>
        <w:tc>
          <w:tcPr>
            <w:tcW w:w="4961" w:type="dxa"/>
            <w:vAlign w:val="center"/>
          </w:tcPr>
          <w:p>
            <w:pPr>
              <w:jc w:val="center"/>
              <w:rPr>
                <w:rFonts w:ascii="宋体" w:hAnsi="宋体"/>
                <w:color w:val="000000" w:themeColor="text1"/>
                <w:szCs w:val="21"/>
              </w:rPr>
            </w:pPr>
            <w:r>
              <w:rPr>
                <w:rFonts w:hint="eastAsia" w:ascii="宋体" w:hAnsi="宋体"/>
                <w:color w:val="000000" w:themeColor="text1"/>
                <w:szCs w:val="21"/>
              </w:rPr>
              <w:t>配置名称</w:t>
            </w:r>
          </w:p>
        </w:tc>
        <w:tc>
          <w:tcPr>
            <w:tcW w:w="709" w:type="dxa"/>
            <w:vAlign w:val="center"/>
          </w:tcPr>
          <w:p>
            <w:pPr>
              <w:jc w:val="center"/>
              <w:rPr>
                <w:rFonts w:ascii="宋体" w:hAnsi="宋体"/>
                <w:color w:val="000000" w:themeColor="text1"/>
                <w:szCs w:val="21"/>
              </w:rPr>
            </w:pPr>
            <w:r>
              <w:rPr>
                <w:rFonts w:hint="eastAsia" w:ascii="宋体" w:hAnsi="宋体"/>
                <w:color w:val="000000" w:themeColor="text1"/>
                <w:szCs w:val="21"/>
              </w:rPr>
              <w:t>数量</w:t>
            </w:r>
          </w:p>
        </w:tc>
        <w:tc>
          <w:tcPr>
            <w:tcW w:w="709" w:type="dxa"/>
            <w:vAlign w:val="center"/>
          </w:tcPr>
          <w:p>
            <w:pPr>
              <w:jc w:val="center"/>
              <w:rPr>
                <w:rFonts w:ascii="宋体" w:hAnsi="宋体"/>
                <w:color w:val="000000" w:themeColor="text1"/>
                <w:szCs w:val="21"/>
              </w:rPr>
            </w:pPr>
            <w:r>
              <w:rPr>
                <w:rFonts w:hint="eastAsia" w:ascii="宋体" w:hAnsi="宋体"/>
                <w:color w:val="000000" w:themeColor="text1"/>
                <w:szCs w:val="21"/>
              </w:rPr>
              <w:t>单位</w:t>
            </w:r>
          </w:p>
        </w:tc>
        <w:tc>
          <w:tcPr>
            <w:tcW w:w="1011" w:type="dxa"/>
            <w:vAlign w:val="center"/>
          </w:tcPr>
          <w:p>
            <w:pPr>
              <w:jc w:val="center"/>
              <w:rPr>
                <w:rFonts w:ascii="宋体" w:hAnsi="宋体"/>
                <w:color w:val="000000" w:themeColor="text1"/>
                <w:szCs w:val="21"/>
              </w:rPr>
            </w:pPr>
            <w:r>
              <w:rPr>
                <w:rFonts w:hint="eastAsia" w:ascii="宋体" w:hAnsi="宋体"/>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rPr>
            </w:pPr>
            <w:r>
              <w:rPr>
                <w:rFonts w:hint="eastAsia" w:ascii="宋体" w:hAnsi="宋体"/>
                <w:color w:val="000000" w:themeColor="text1"/>
                <w:szCs w:val="21"/>
                <w:lang w:val="en-US" w:eastAsia="zh-CN"/>
              </w:rPr>
              <w:t>1</w:t>
            </w:r>
          </w:p>
        </w:tc>
        <w:tc>
          <w:tcPr>
            <w:tcW w:w="4961" w:type="dxa"/>
            <w:vAlign w:val="center"/>
          </w:tcPr>
          <w:p>
            <w:pPr>
              <w:widowControl/>
              <w:jc w:val="center"/>
              <w:rPr>
                <w:rFonts w:ascii="宋体" w:hAnsi="宋体"/>
                <w:szCs w:val="21"/>
              </w:rPr>
            </w:pPr>
            <w:r>
              <w:rPr>
                <w:rFonts w:hint="eastAsia" w:ascii="宋体" w:hAnsi="宋体"/>
                <w:sz w:val="24"/>
              </w:rPr>
              <w:t>镫骨剪</w:t>
            </w:r>
          </w:p>
        </w:tc>
        <w:tc>
          <w:tcPr>
            <w:tcW w:w="709" w:type="dxa"/>
            <w:vAlign w:val="center"/>
          </w:tcPr>
          <w:p>
            <w:pPr>
              <w:widowControl/>
              <w:jc w:val="center"/>
              <w:rPr>
                <w:rFonts w:ascii="新宋体" w:hAnsi="新宋体" w:eastAsia="新宋体" w:cs="Arial"/>
                <w:color w:val="000000" w:themeColor="text1"/>
                <w:kern w:val="0"/>
                <w:szCs w:val="21"/>
              </w:rPr>
            </w:pPr>
            <w:r>
              <w:rPr>
                <w:rFonts w:hint="eastAsia" w:ascii="宋体" w:hAnsi="宋体"/>
                <w:sz w:val="24"/>
              </w:rPr>
              <w:t>1</w:t>
            </w:r>
          </w:p>
        </w:tc>
        <w:tc>
          <w:tcPr>
            <w:tcW w:w="709" w:type="dxa"/>
            <w:vAlign w:val="center"/>
          </w:tcPr>
          <w:p>
            <w:pPr>
              <w:jc w:val="center"/>
              <w:rPr>
                <w:color w:val="000000" w:themeColor="text1"/>
              </w:rPr>
            </w:pPr>
            <w:r>
              <w:rPr>
                <w:rFonts w:hint="eastAsia" w:ascii="宋体" w:hAnsi="宋体"/>
                <w:sz w:val="24"/>
              </w:rPr>
              <w:t>把</w:t>
            </w:r>
          </w:p>
        </w:tc>
        <w:tc>
          <w:tcPr>
            <w:tcW w:w="1011"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rPr>
            </w:pPr>
            <w:r>
              <w:rPr>
                <w:rFonts w:hint="eastAsia" w:ascii="宋体" w:hAnsi="宋体"/>
                <w:color w:val="000000" w:themeColor="text1"/>
                <w:szCs w:val="21"/>
                <w:lang w:val="en-US" w:eastAsia="zh-CN"/>
              </w:rPr>
              <w:t>2</w:t>
            </w:r>
          </w:p>
        </w:tc>
        <w:tc>
          <w:tcPr>
            <w:tcW w:w="4961" w:type="dxa"/>
            <w:vAlign w:val="center"/>
          </w:tcPr>
          <w:p>
            <w:pPr>
              <w:widowControl/>
              <w:jc w:val="center"/>
              <w:rPr>
                <w:rFonts w:ascii="宋体" w:hAnsi="宋体"/>
                <w:szCs w:val="21"/>
              </w:rPr>
            </w:pPr>
            <w:r>
              <w:rPr>
                <w:rFonts w:hint="eastAsia" w:ascii="宋体" w:hAnsi="宋体"/>
                <w:sz w:val="24"/>
              </w:rPr>
              <w:t>镫骨剪</w:t>
            </w:r>
          </w:p>
        </w:tc>
        <w:tc>
          <w:tcPr>
            <w:tcW w:w="709" w:type="dxa"/>
            <w:vAlign w:val="center"/>
          </w:tcPr>
          <w:p>
            <w:pPr>
              <w:widowControl/>
              <w:jc w:val="center"/>
              <w:rPr>
                <w:rFonts w:ascii="新宋体" w:hAnsi="新宋体" w:eastAsia="新宋体" w:cs="Arial"/>
                <w:color w:val="000000" w:themeColor="text1"/>
                <w:kern w:val="0"/>
                <w:szCs w:val="21"/>
              </w:rPr>
            </w:pPr>
            <w:r>
              <w:rPr>
                <w:rFonts w:hint="eastAsia" w:ascii="宋体" w:hAnsi="宋体"/>
                <w:sz w:val="24"/>
              </w:rPr>
              <w:t>1</w:t>
            </w:r>
          </w:p>
        </w:tc>
        <w:tc>
          <w:tcPr>
            <w:tcW w:w="709" w:type="dxa"/>
            <w:vAlign w:val="center"/>
          </w:tcPr>
          <w:p>
            <w:pPr>
              <w:jc w:val="center"/>
              <w:rPr>
                <w:color w:val="000000" w:themeColor="text1"/>
              </w:rPr>
            </w:pPr>
            <w:r>
              <w:rPr>
                <w:rFonts w:hint="eastAsia" w:ascii="宋体" w:hAnsi="宋体"/>
                <w:sz w:val="24"/>
              </w:rPr>
              <w:t>把</w:t>
            </w:r>
          </w:p>
        </w:tc>
        <w:tc>
          <w:tcPr>
            <w:tcW w:w="1011"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3</w:t>
            </w:r>
          </w:p>
        </w:tc>
        <w:tc>
          <w:tcPr>
            <w:tcW w:w="4961" w:type="dxa"/>
            <w:vAlign w:val="center"/>
          </w:tcPr>
          <w:p>
            <w:pPr>
              <w:widowControl/>
              <w:jc w:val="center"/>
              <w:rPr>
                <w:rFonts w:ascii="宋体" w:hAnsi="宋体"/>
                <w:szCs w:val="21"/>
              </w:rPr>
            </w:pPr>
            <w:r>
              <w:rPr>
                <w:rFonts w:hint="eastAsia" w:ascii="宋体" w:hAnsi="宋体"/>
                <w:sz w:val="24"/>
              </w:rPr>
              <w:t>抓紧钳</w:t>
            </w:r>
          </w:p>
        </w:tc>
        <w:tc>
          <w:tcPr>
            <w:tcW w:w="709" w:type="dxa"/>
            <w:vAlign w:val="center"/>
          </w:tcPr>
          <w:p>
            <w:pPr>
              <w:widowControl/>
              <w:jc w:val="center"/>
              <w:rPr>
                <w:rFonts w:ascii="新宋体" w:hAnsi="新宋体" w:eastAsia="新宋体" w:cs="Arial"/>
                <w:color w:val="000000" w:themeColor="text1"/>
                <w:kern w:val="0"/>
                <w:szCs w:val="21"/>
              </w:rPr>
            </w:pPr>
            <w:r>
              <w:rPr>
                <w:rFonts w:hint="eastAsia" w:ascii="宋体" w:hAnsi="宋体"/>
                <w:sz w:val="24"/>
              </w:rPr>
              <w:t>1</w:t>
            </w:r>
          </w:p>
        </w:tc>
        <w:tc>
          <w:tcPr>
            <w:tcW w:w="709" w:type="dxa"/>
            <w:vAlign w:val="center"/>
          </w:tcPr>
          <w:p>
            <w:pPr>
              <w:jc w:val="center"/>
              <w:rPr>
                <w:rFonts w:ascii="新宋体" w:hAnsi="新宋体" w:eastAsia="新宋体" w:cs="宋体"/>
                <w:color w:val="000000" w:themeColor="text1"/>
                <w:kern w:val="24"/>
                <w:szCs w:val="21"/>
              </w:rPr>
            </w:pPr>
            <w:r>
              <w:rPr>
                <w:rFonts w:hint="eastAsia" w:ascii="宋体" w:hAnsi="宋体"/>
                <w:sz w:val="24"/>
              </w:rPr>
              <w:t>把</w:t>
            </w:r>
          </w:p>
        </w:tc>
        <w:tc>
          <w:tcPr>
            <w:tcW w:w="1011"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rPr>
            </w:pPr>
            <w:r>
              <w:rPr>
                <w:rFonts w:hint="eastAsia" w:ascii="宋体" w:hAnsi="宋体"/>
                <w:color w:val="000000" w:themeColor="text1"/>
                <w:szCs w:val="21"/>
                <w:lang w:val="en-US" w:eastAsia="zh-CN"/>
              </w:rPr>
              <w:t>4</w:t>
            </w:r>
          </w:p>
        </w:tc>
        <w:tc>
          <w:tcPr>
            <w:tcW w:w="4961" w:type="dxa"/>
            <w:vAlign w:val="center"/>
          </w:tcPr>
          <w:p>
            <w:pPr>
              <w:widowControl/>
              <w:jc w:val="center"/>
              <w:rPr>
                <w:rFonts w:ascii="宋体" w:hAnsi="宋体"/>
                <w:szCs w:val="21"/>
              </w:rPr>
            </w:pPr>
            <w:r>
              <w:rPr>
                <w:rFonts w:hint="eastAsia" w:ascii="宋体" w:hAnsi="宋体"/>
                <w:sz w:val="24"/>
              </w:rPr>
              <w:t>卵圆钳</w:t>
            </w:r>
          </w:p>
        </w:tc>
        <w:tc>
          <w:tcPr>
            <w:tcW w:w="709" w:type="dxa"/>
            <w:vAlign w:val="center"/>
          </w:tcPr>
          <w:p>
            <w:pPr>
              <w:widowControl/>
              <w:jc w:val="center"/>
              <w:rPr>
                <w:rFonts w:ascii="新宋体" w:hAnsi="新宋体" w:eastAsia="新宋体" w:cs="Arial"/>
                <w:color w:val="000000" w:themeColor="text1"/>
                <w:kern w:val="0"/>
                <w:szCs w:val="21"/>
              </w:rPr>
            </w:pPr>
            <w:r>
              <w:rPr>
                <w:rFonts w:hint="eastAsia" w:ascii="宋体" w:hAnsi="宋体"/>
                <w:sz w:val="24"/>
              </w:rPr>
              <w:t>1</w:t>
            </w:r>
          </w:p>
        </w:tc>
        <w:tc>
          <w:tcPr>
            <w:tcW w:w="709" w:type="dxa"/>
            <w:vAlign w:val="center"/>
          </w:tcPr>
          <w:p>
            <w:pPr>
              <w:jc w:val="center"/>
              <w:rPr>
                <w:rFonts w:ascii="新宋体" w:hAnsi="新宋体" w:eastAsia="新宋体" w:cs="宋体"/>
                <w:color w:val="000000" w:themeColor="text1"/>
                <w:kern w:val="24"/>
                <w:szCs w:val="21"/>
              </w:rPr>
            </w:pPr>
            <w:r>
              <w:rPr>
                <w:rFonts w:hint="eastAsia" w:ascii="宋体" w:hAnsi="宋体"/>
                <w:sz w:val="24"/>
              </w:rPr>
              <w:t>把</w:t>
            </w:r>
          </w:p>
        </w:tc>
        <w:tc>
          <w:tcPr>
            <w:tcW w:w="1011"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rPr>
            </w:pPr>
            <w:r>
              <w:rPr>
                <w:rFonts w:hint="eastAsia" w:ascii="宋体" w:hAnsi="宋体"/>
                <w:color w:val="000000" w:themeColor="text1"/>
                <w:szCs w:val="21"/>
                <w:lang w:val="en-US" w:eastAsia="zh-CN"/>
              </w:rPr>
              <w:t>5</w:t>
            </w:r>
          </w:p>
        </w:tc>
        <w:tc>
          <w:tcPr>
            <w:tcW w:w="4961" w:type="dxa"/>
            <w:vAlign w:val="center"/>
          </w:tcPr>
          <w:p>
            <w:pPr>
              <w:widowControl/>
              <w:jc w:val="center"/>
              <w:rPr>
                <w:rFonts w:ascii="宋体" w:hAnsi="宋体"/>
                <w:szCs w:val="21"/>
              </w:rPr>
            </w:pPr>
            <w:r>
              <w:rPr>
                <w:rFonts w:hint="eastAsia" w:ascii="宋体" w:hAnsi="宋体"/>
                <w:sz w:val="24"/>
              </w:rPr>
              <w:t>锤骨钳</w:t>
            </w:r>
          </w:p>
        </w:tc>
        <w:tc>
          <w:tcPr>
            <w:tcW w:w="709" w:type="dxa"/>
            <w:vAlign w:val="center"/>
          </w:tcPr>
          <w:p>
            <w:pPr>
              <w:widowControl/>
              <w:jc w:val="center"/>
              <w:rPr>
                <w:rFonts w:ascii="新宋体" w:hAnsi="新宋体" w:eastAsia="新宋体" w:cs="Arial"/>
                <w:color w:val="000000" w:themeColor="text1"/>
                <w:kern w:val="0"/>
                <w:szCs w:val="21"/>
              </w:rPr>
            </w:pPr>
            <w:r>
              <w:rPr>
                <w:rFonts w:hint="eastAsia" w:ascii="宋体" w:hAnsi="宋体"/>
                <w:sz w:val="24"/>
              </w:rPr>
              <w:t>1</w:t>
            </w:r>
          </w:p>
        </w:tc>
        <w:tc>
          <w:tcPr>
            <w:tcW w:w="709" w:type="dxa"/>
            <w:vAlign w:val="center"/>
          </w:tcPr>
          <w:p>
            <w:pPr>
              <w:jc w:val="center"/>
              <w:rPr>
                <w:rFonts w:ascii="新宋体" w:hAnsi="新宋体" w:eastAsia="新宋体" w:cs="宋体"/>
                <w:color w:val="000000" w:themeColor="text1"/>
                <w:kern w:val="24"/>
                <w:szCs w:val="21"/>
              </w:rPr>
            </w:pPr>
            <w:r>
              <w:rPr>
                <w:rFonts w:hint="eastAsia" w:ascii="宋体" w:hAnsi="宋体"/>
                <w:sz w:val="24"/>
              </w:rPr>
              <w:t>把</w:t>
            </w:r>
          </w:p>
        </w:tc>
        <w:tc>
          <w:tcPr>
            <w:tcW w:w="1011"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rPr>
            </w:pPr>
            <w:r>
              <w:rPr>
                <w:rFonts w:hint="eastAsia" w:ascii="宋体" w:hAnsi="宋体"/>
                <w:color w:val="000000" w:themeColor="text1"/>
                <w:szCs w:val="21"/>
                <w:lang w:val="en-US" w:eastAsia="zh-CN"/>
              </w:rPr>
              <w:t>6</w:t>
            </w:r>
          </w:p>
        </w:tc>
        <w:tc>
          <w:tcPr>
            <w:tcW w:w="4961" w:type="dxa"/>
            <w:vAlign w:val="center"/>
          </w:tcPr>
          <w:p>
            <w:pPr>
              <w:widowControl/>
              <w:jc w:val="center"/>
              <w:rPr>
                <w:rFonts w:ascii="宋体" w:hAnsi="宋体"/>
                <w:szCs w:val="21"/>
              </w:rPr>
            </w:pPr>
            <w:r>
              <w:rPr>
                <w:rFonts w:hint="eastAsia" w:ascii="宋体" w:hAnsi="宋体"/>
                <w:sz w:val="24"/>
              </w:rPr>
              <w:t>锤骨钳</w:t>
            </w:r>
          </w:p>
        </w:tc>
        <w:tc>
          <w:tcPr>
            <w:tcW w:w="709" w:type="dxa"/>
            <w:vAlign w:val="center"/>
          </w:tcPr>
          <w:p>
            <w:pPr>
              <w:widowControl/>
              <w:jc w:val="center"/>
              <w:rPr>
                <w:rFonts w:ascii="新宋体" w:hAnsi="新宋体" w:eastAsia="新宋体" w:cs="Arial"/>
                <w:color w:val="000000" w:themeColor="text1"/>
                <w:kern w:val="0"/>
                <w:szCs w:val="21"/>
              </w:rPr>
            </w:pPr>
            <w:r>
              <w:rPr>
                <w:rFonts w:hint="eastAsia" w:ascii="宋体" w:hAnsi="宋体"/>
                <w:sz w:val="24"/>
              </w:rPr>
              <w:t>1</w:t>
            </w:r>
          </w:p>
        </w:tc>
        <w:tc>
          <w:tcPr>
            <w:tcW w:w="709" w:type="dxa"/>
            <w:vAlign w:val="center"/>
          </w:tcPr>
          <w:p>
            <w:pPr>
              <w:jc w:val="center"/>
              <w:rPr>
                <w:rFonts w:ascii="新宋体" w:hAnsi="新宋体" w:eastAsia="新宋体" w:cs="宋体"/>
                <w:color w:val="000000" w:themeColor="text1"/>
                <w:kern w:val="24"/>
                <w:szCs w:val="21"/>
              </w:rPr>
            </w:pPr>
            <w:r>
              <w:rPr>
                <w:rFonts w:hint="eastAsia" w:ascii="宋体" w:hAnsi="宋体"/>
                <w:sz w:val="24"/>
              </w:rPr>
              <w:t>把</w:t>
            </w:r>
          </w:p>
        </w:tc>
        <w:tc>
          <w:tcPr>
            <w:tcW w:w="1011"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rPr>
            </w:pPr>
            <w:r>
              <w:rPr>
                <w:rFonts w:hint="eastAsia" w:ascii="宋体" w:hAnsi="宋体"/>
                <w:color w:val="000000" w:themeColor="text1"/>
                <w:szCs w:val="21"/>
                <w:lang w:val="en-US" w:eastAsia="zh-CN"/>
              </w:rPr>
              <w:t>7</w:t>
            </w:r>
          </w:p>
        </w:tc>
        <w:tc>
          <w:tcPr>
            <w:tcW w:w="4961" w:type="dxa"/>
            <w:vAlign w:val="center"/>
          </w:tcPr>
          <w:p>
            <w:pPr>
              <w:widowControl/>
              <w:jc w:val="center"/>
              <w:rPr>
                <w:rFonts w:ascii="宋体" w:hAnsi="宋体"/>
                <w:szCs w:val="21"/>
              </w:rPr>
            </w:pPr>
            <w:r>
              <w:rPr>
                <w:rFonts w:hint="eastAsia" w:ascii="宋体" w:hAnsi="宋体"/>
                <w:sz w:val="24"/>
              </w:rPr>
              <w:t>耳针</w:t>
            </w:r>
          </w:p>
        </w:tc>
        <w:tc>
          <w:tcPr>
            <w:tcW w:w="709" w:type="dxa"/>
            <w:vAlign w:val="center"/>
          </w:tcPr>
          <w:p>
            <w:pPr>
              <w:widowControl/>
              <w:jc w:val="center"/>
              <w:rPr>
                <w:rFonts w:ascii="新宋体" w:hAnsi="新宋体" w:eastAsia="新宋体" w:cs="Arial"/>
                <w:color w:val="000000" w:themeColor="text1"/>
                <w:kern w:val="0"/>
                <w:szCs w:val="21"/>
              </w:rPr>
            </w:pPr>
            <w:r>
              <w:rPr>
                <w:rFonts w:hint="eastAsia" w:ascii="宋体" w:hAnsi="宋体"/>
                <w:sz w:val="24"/>
              </w:rPr>
              <w:t>1</w:t>
            </w:r>
          </w:p>
        </w:tc>
        <w:tc>
          <w:tcPr>
            <w:tcW w:w="709" w:type="dxa"/>
            <w:vAlign w:val="center"/>
          </w:tcPr>
          <w:p>
            <w:pPr>
              <w:jc w:val="center"/>
              <w:rPr>
                <w:rFonts w:ascii="新宋体" w:hAnsi="新宋体" w:eastAsia="新宋体" w:cs="宋体"/>
                <w:color w:val="000000" w:themeColor="text1"/>
                <w:kern w:val="24"/>
                <w:szCs w:val="21"/>
              </w:rPr>
            </w:pPr>
            <w:r>
              <w:rPr>
                <w:rFonts w:hint="eastAsia" w:ascii="宋体" w:hAnsi="宋体"/>
                <w:sz w:val="24"/>
              </w:rPr>
              <w:t>把</w:t>
            </w:r>
          </w:p>
        </w:tc>
        <w:tc>
          <w:tcPr>
            <w:tcW w:w="1011"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rPr>
            </w:pPr>
            <w:r>
              <w:rPr>
                <w:rFonts w:hint="eastAsia" w:ascii="宋体" w:hAnsi="宋体"/>
                <w:color w:val="000000" w:themeColor="text1"/>
                <w:szCs w:val="21"/>
                <w:lang w:val="en-US" w:eastAsia="zh-CN"/>
              </w:rPr>
              <w:t>8</w:t>
            </w:r>
          </w:p>
        </w:tc>
        <w:tc>
          <w:tcPr>
            <w:tcW w:w="4961" w:type="dxa"/>
            <w:vAlign w:val="center"/>
          </w:tcPr>
          <w:p>
            <w:pPr>
              <w:widowControl/>
              <w:jc w:val="center"/>
              <w:rPr>
                <w:rFonts w:ascii="宋体" w:hAnsi="宋体"/>
                <w:szCs w:val="21"/>
              </w:rPr>
            </w:pPr>
            <w:r>
              <w:rPr>
                <w:rFonts w:hint="eastAsia" w:ascii="宋体" w:hAnsi="宋体"/>
                <w:sz w:val="24"/>
              </w:rPr>
              <w:t>耳针</w:t>
            </w:r>
          </w:p>
        </w:tc>
        <w:tc>
          <w:tcPr>
            <w:tcW w:w="709" w:type="dxa"/>
            <w:vAlign w:val="center"/>
          </w:tcPr>
          <w:p>
            <w:pPr>
              <w:widowControl/>
              <w:jc w:val="center"/>
              <w:rPr>
                <w:rFonts w:ascii="新宋体" w:hAnsi="新宋体" w:eastAsia="新宋体" w:cs="Arial"/>
                <w:color w:val="000000" w:themeColor="text1"/>
                <w:kern w:val="0"/>
                <w:szCs w:val="21"/>
              </w:rPr>
            </w:pPr>
            <w:r>
              <w:rPr>
                <w:rFonts w:hint="eastAsia" w:ascii="宋体" w:hAnsi="宋体"/>
                <w:sz w:val="24"/>
              </w:rPr>
              <w:t>1</w:t>
            </w:r>
          </w:p>
        </w:tc>
        <w:tc>
          <w:tcPr>
            <w:tcW w:w="709" w:type="dxa"/>
            <w:vAlign w:val="center"/>
          </w:tcPr>
          <w:p>
            <w:pPr>
              <w:jc w:val="center"/>
              <w:rPr>
                <w:rFonts w:ascii="新宋体" w:hAnsi="新宋体" w:eastAsia="新宋体" w:cs="宋体"/>
                <w:color w:val="000000" w:themeColor="text1"/>
                <w:kern w:val="24"/>
                <w:szCs w:val="21"/>
              </w:rPr>
            </w:pPr>
            <w:r>
              <w:rPr>
                <w:rFonts w:hint="eastAsia" w:ascii="宋体" w:hAnsi="宋体"/>
                <w:sz w:val="24"/>
              </w:rPr>
              <w:t>把</w:t>
            </w:r>
          </w:p>
        </w:tc>
        <w:tc>
          <w:tcPr>
            <w:tcW w:w="1011"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rPr>
            </w:pPr>
            <w:r>
              <w:rPr>
                <w:rFonts w:hint="eastAsia" w:ascii="宋体" w:hAnsi="宋体"/>
                <w:color w:val="000000" w:themeColor="text1"/>
                <w:szCs w:val="21"/>
                <w:lang w:val="en-US" w:eastAsia="zh-CN"/>
              </w:rPr>
              <w:t>9</w:t>
            </w:r>
          </w:p>
        </w:tc>
        <w:tc>
          <w:tcPr>
            <w:tcW w:w="4961" w:type="dxa"/>
            <w:vAlign w:val="center"/>
          </w:tcPr>
          <w:p>
            <w:pPr>
              <w:widowControl/>
              <w:jc w:val="center"/>
              <w:rPr>
                <w:rFonts w:ascii="宋体" w:hAnsi="宋体"/>
                <w:szCs w:val="21"/>
              </w:rPr>
            </w:pPr>
            <w:r>
              <w:rPr>
                <w:rFonts w:hint="eastAsia" w:ascii="宋体" w:hAnsi="宋体"/>
                <w:sz w:val="24"/>
              </w:rPr>
              <w:t>耳针</w:t>
            </w:r>
          </w:p>
        </w:tc>
        <w:tc>
          <w:tcPr>
            <w:tcW w:w="709" w:type="dxa"/>
            <w:vAlign w:val="center"/>
          </w:tcPr>
          <w:p>
            <w:pPr>
              <w:widowControl/>
              <w:jc w:val="center"/>
              <w:rPr>
                <w:rFonts w:ascii="新宋体" w:hAnsi="新宋体" w:eastAsia="新宋体" w:cs="Arial"/>
                <w:color w:val="000000" w:themeColor="text1"/>
                <w:kern w:val="0"/>
                <w:szCs w:val="21"/>
              </w:rPr>
            </w:pPr>
            <w:r>
              <w:rPr>
                <w:rFonts w:hint="eastAsia" w:ascii="宋体" w:hAnsi="宋体"/>
                <w:sz w:val="24"/>
              </w:rPr>
              <w:t>1</w:t>
            </w:r>
          </w:p>
        </w:tc>
        <w:tc>
          <w:tcPr>
            <w:tcW w:w="709" w:type="dxa"/>
            <w:vAlign w:val="center"/>
          </w:tcPr>
          <w:p>
            <w:pPr>
              <w:jc w:val="center"/>
              <w:rPr>
                <w:rFonts w:ascii="新宋体" w:hAnsi="新宋体" w:eastAsia="新宋体" w:cs="宋体"/>
                <w:color w:val="000000" w:themeColor="text1"/>
                <w:kern w:val="24"/>
                <w:szCs w:val="21"/>
              </w:rPr>
            </w:pPr>
            <w:r>
              <w:rPr>
                <w:rFonts w:hint="eastAsia" w:ascii="宋体" w:hAnsi="宋体"/>
                <w:sz w:val="24"/>
              </w:rPr>
              <w:t>把</w:t>
            </w:r>
          </w:p>
        </w:tc>
        <w:tc>
          <w:tcPr>
            <w:tcW w:w="1011"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10</w:t>
            </w:r>
          </w:p>
        </w:tc>
        <w:tc>
          <w:tcPr>
            <w:tcW w:w="4961" w:type="dxa"/>
            <w:vAlign w:val="center"/>
          </w:tcPr>
          <w:p>
            <w:pPr>
              <w:widowControl/>
              <w:jc w:val="center"/>
              <w:rPr>
                <w:rFonts w:ascii="宋体" w:hAnsi="宋体"/>
                <w:szCs w:val="21"/>
              </w:rPr>
            </w:pPr>
            <w:r>
              <w:rPr>
                <w:rFonts w:hint="eastAsia" w:ascii="宋体" w:hAnsi="宋体"/>
                <w:sz w:val="24"/>
              </w:rPr>
              <w:t>耳针</w:t>
            </w:r>
          </w:p>
        </w:tc>
        <w:tc>
          <w:tcPr>
            <w:tcW w:w="709" w:type="dxa"/>
            <w:vAlign w:val="center"/>
          </w:tcPr>
          <w:p>
            <w:pPr>
              <w:widowControl/>
              <w:jc w:val="center"/>
              <w:rPr>
                <w:rFonts w:ascii="新宋体" w:hAnsi="新宋体" w:eastAsia="新宋体" w:cs="Arial"/>
                <w:color w:val="000000" w:themeColor="text1"/>
                <w:kern w:val="0"/>
                <w:szCs w:val="21"/>
              </w:rPr>
            </w:pPr>
            <w:r>
              <w:rPr>
                <w:rFonts w:hint="eastAsia" w:ascii="宋体" w:hAnsi="宋体"/>
                <w:sz w:val="24"/>
              </w:rPr>
              <w:t>1</w:t>
            </w:r>
          </w:p>
        </w:tc>
        <w:tc>
          <w:tcPr>
            <w:tcW w:w="709" w:type="dxa"/>
            <w:vAlign w:val="center"/>
          </w:tcPr>
          <w:p>
            <w:pPr>
              <w:jc w:val="center"/>
              <w:rPr>
                <w:rFonts w:ascii="新宋体" w:hAnsi="新宋体" w:eastAsia="新宋体" w:cs="宋体"/>
                <w:color w:val="000000" w:themeColor="text1"/>
                <w:kern w:val="24"/>
                <w:szCs w:val="21"/>
              </w:rPr>
            </w:pPr>
            <w:r>
              <w:rPr>
                <w:rFonts w:hint="eastAsia" w:ascii="宋体" w:hAnsi="宋体"/>
                <w:sz w:val="24"/>
              </w:rPr>
              <w:t>把</w:t>
            </w:r>
          </w:p>
        </w:tc>
        <w:tc>
          <w:tcPr>
            <w:tcW w:w="1011"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11</w:t>
            </w:r>
          </w:p>
        </w:tc>
        <w:tc>
          <w:tcPr>
            <w:tcW w:w="4961" w:type="dxa"/>
            <w:vAlign w:val="center"/>
          </w:tcPr>
          <w:p>
            <w:pPr>
              <w:widowControl/>
              <w:jc w:val="center"/>
              <w:rPr>
                <w:rFonts w:ascii="宋体" w:hAnsi="宋体"/>
                <w:szCs w:val="21"/>
              </w:rPr>
            </w:pPr>
            <w:r>
              <w:rPr>
                <w:rFonts w:hint="eastAsia" w:ascii="宋体" w:hAnsi="宋体"/>
                <w:sz w:val="24"/>
              </w:rPr>
              <w:t>圆盘耳刀</w:t>
            </w:r>
          </w:p>
        </w:tc>
        <w:tc>
          <w:tcPr>
            <w:tcW w:w="709" w:type="dxa"/>
            <w:vAlign w:val="center"/>
          </w:tcPr>
          <w:p>
            <w:pPr>
              <w:widowControl/>
              <w:jc w:val="center"/>
              <w:rPr>
                <w:rFonts w:ascii="新宋体" w:hAnsi="新宋体" w:eastAsia="新宋体" w:cs="Arial"/>
                <w:color w:val="000000" w:themeColor="text1"/>
                <w:kern w:val="0"/>
                <w:szCs w:val="21"/>
              </w:rPr>
            </w:pPr>
            <w:r>
              <w:rPr>
                <w:rFonts w:hint="eastAsia" w:ascii="宋体" w:hAnsi="宋体"/>
                <w:sz w:val="24"/>
              </w:rPr>
              <w:t>1</w:t>
            </w:r>
          </w:p>
        </w:tc>
        <w:tc>
          <w:tcPr>
            <w:tcW w:w="709" w:type="dxa"/>
            <w:vAlign w:val="center"/>
          </w:tcPr>
          <w:p>
            <w:pPr>
              <w:jc w:val="center"/>
              <w:rPr>
                <w:rFonts w:ascii="新宋体" w:hAnsi="新宋体" w:eastAsia="新宋体" w:cs="宋体"/>
                <w:color w:val="000000" w:themeColor="text1"/>
                <w:kern w:val="24"/>
                <w:szCs w:val="21"/>
              </w:rPr>
            </w:pPr>
            <w:r>
              <w:rPr>
                <w:rFonts w:hint="eastAsia" w:ascii="宋体" w:hAnsi="宋体"/>
                <w:sz w:val="24"/>
              </w:rPr>
              <w:t>把</w:t>
            </w:r>
          </w:p>
        </w:tc>
        <w:tc>
          <w:tcPr>
            <w:tcW w:w="1011"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12</w:t>
            </w:r>
          </w:p>
        </w:tc>
        <w:tc>
          <w:tcPr>
            <w:tcW w:w="4961" w:type="dxa"/>
            <w:vAlign w:val="center"/>
          </w:tcPr>
          <w:p>
            <w:pPr>
              <w:widowControl/>
              <w:jc w:val="center"/>
              <w:rPr>
                <w:rFonts w:ascii="宋体" w:hAnsi="宋体"/>
                <w:szCs w:val="21"/>
              </w:rPr>
            </w:pPr>
            <w:r>
              <w:rPr>
                <w:rFonts w:hint="eastAsia" w:ascii="宋体" w:hAnsi="宋体"/>
                <w:sz w:val="24"/>
              </w:rPr>
              <w:t>圆盘耳刀</w:t>
            </w:r>
          </w:p>
        </w:tc>
        <w:tc>
          <w:tcPr>
            <w:tcW w:w="709" w:type="dxa"/>
            <w:vAlign w:val="center"/>
          </w:tcPr>
          <w:p>
            <w:pPr>
              <w:widowControl/>
              <w:jc w:val="center"/>
              <w:rPr>
                <w:rFonts w:ascii="新宋体" w:hAnsi="新宋体" w:eastAsia="新宋体" w:cs="Arial"/>
                <w:color w:val="000000" w:themeColor="text1"/>
                <w:kern w:val="0"/>
                <w:szCs w:val="21"/>
              </w:rPr>
            </w:pPr>
            <w:r>
              <w:rPr>
                <w:rFonts w:hint="eastAsia" w:ascii="宋体" w:hAnsi="宋体"/>
                <w:sz w:val="24"/>
              </w:rPr>
              <w:t>1</w:t>
            </w:r>
          </w:p>
        </w:tc>
        <w:tc>
          <w:tcPr>
            <w:tcW w:w="709" w:type="dxa"/>
            <w:vAlign w:val="center"/>
          </w:tcPr>
          <w:p>
            <w:pPr>
              <w:jc w:val="center"/>
              <w:rPr>
                <w:rFonts w:ascii="新宋体" w:hAnsi="新宋体" w:eastAsia="新宋体" w:cs="宋体"/>
                <w:color w:val="000000" w:themeColor="text1"/>
                <w:kern w:val="24"/>
                <w:szCs w:val="21"/>
              </w:rPr>
            </w:pPr>
            <w:r>
              <w:rPr>
                <w:rFonts w:hint="eastAsia" w:ascii="宋体" w:hAnsi="宋体"/>
                <w:sz w:val="24"/>
              </w:rPr>
              <w:t>把</w:t>
            </w:r>
          </w:p>
        </w:tc>
        <w:tc>
          <w:tcPr>
            <w:tcW w:w="1011"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13</w:t>
            </w:r>
          </w:p>
        </w:tc>
        <w:tc>
          <w:tcPr>
            <w:tcW w:w="4961" w:type="dxa"/>
            <w:vAlign w:val="center"/>
          </w:tcPr>
          <w:p>
            <w:pPr>
              <w:widowControl/>
              <w:jc w:val="center"/>
              <w:rPr>
                <w:rFonts w:ascii="宋体" w:hAnsi="宋体"/>
                <w:szCs w:val="21"/>
              </w:rPr>
            </w:pPr>
            <w:r>
              <w:rPr>
                <w:rFonts w:hint="eastAsia" w:ascii="宋体" w:hAnsi="宋体"/>
                <w:sz w:val="24"/>
              </w:rPr>
              <w:t>反向耳钩</w:t>
            </w:r>
          </w:p>
        </w:tc>
        <w:tc>
          <w:tcPr>
            <w:tcW w:w="709" w:type="dxa"/>
            <w:vAlign w:val="center"/>
          </w:tcPr>
          <w:p>
            <w:pPr>
              <w:widowControl/>
              <w:jc w:val="center"/>
              <w:rPr>
                <w:rFonts w:ascii="新宋体" w:hAnsi="新宋体" w:eastAsia="新宋体" w:cs="Arial"/>
                <w:color w:val="000000" w:themeColor="text1"/>
                <w:kern w:val="0"/>
                <w:szCs w:val="21"/>
              </w:rPr>
            </w:pPr>
            <w:r>
              <w:rPr>
                <w:rFonts w:hint="eastAsia" w:ascii="宋体" w:hAnsi="宋体"/>
                <w:sz w:val="24"/>
              </w:rPr>
              <w:t>1</w:t>
            </w:r>
          </w:p>
        </w:tc>
        <w:tc>
          <w:tcPr>
            <w:tcW w:w="709" w:type="dxa"/>
            <w:vAlign w:val="center"/>
          </w:tcPr>
          <w:p>
            <w:pPr>
              <w:jc w:val="center"/>
              <w:rPr>
                <w:rFonts w:ascii="新宋体" w:hAnsi="新宋体" w:eastAsia="新宋体" w:cs="宋体"/>
                <w:color w:val="000000" w:themeColor="text1"/>
                <w:kern w:val="24"/>
                <w:szCs w:val="21"/>
              </w:rPr>
            </w:pPr>
            <w:r>
              <w:rPr>
                <w:rFonts w:hint="eastAsia" w:ascii="宋体" w:hAnsi="宋体"/>
                <w:sz w:val="24"/>
              </w:rPr>
              <w:t>把</w:t>
            </w:r>
          </w:p>
        </w:tc>
        <w:tc>
          <w:tcPr>
            <w:tcW w:w="1011"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14</w:t>
            </w:r>
          </w:p>
        </w:tc>
        <w:tc>
          <w:tcPr>
            <w:tcW w:w="4961" w:type="dxa"/>
            <w:vAlign w:val="center"/>
          </w:tcPr>
          <w:p>
            <w:pPr>
              <w:widowControl/>
              <w:jc w:val="center"/>
              <w:rPr>
                <w:rFonts w:ascii="宋体" w:hAnsi="宋体"/>
                <w:szCs w:val="21"/>
              </w:rPr>
            </w:pPr>
            <w:r>
              <w:rPr>
                <w:rFonts w:hint="eastAsia" w:ascii="宋体" w:hAnsi="宋体"/>
                <w:sz w:val="24"/>
              </w:rPr>
              <w:t>耳刀</w:t>
            </w:r>
          </w:p>
        </w:tc>
        <w:tc>
          <w:tcPr>
            <w:tcW w:w="709" w:type="dxa"/>
            <w:vAlign w:val="center"/>
          </w:tcPr>
          <w:p>
            <w:pPr>
              <w:widowControl/>
              <w:jc w:val="center"/>
              <w:rPr>
                <w:rFonts w:ascii="新宋体" w:hAnsi="新宋体" w:eastAsia="新宋体" w:cs="Arial"/>
                <w:color w:val="000000" w:themeColor="text1"/>
                <w:kern w:val="0"/>
                <w:szCs w:val="21"/>
              </w:rPr>
            </w:pPr>
            <w:r>
              <w:rPr>
                <w:rFonts w:hint="eastAsia" w:ascii="宋体" w:hAnsi="宋体"/>
                <w:sz w:val="24"/>
              </w:rPr>
              <w:t>1</w:t>
            </w:r>
          </w:p>
        </w:tc>
        <w:tc>
          <w:tcPr>
            <w:tcW w:w="709" w:type="dxa"/>
            <w:vAlign w:val="center"/>
          </w:tcPr>
          <w:p>
            <w:pPr>
              <w:jc w:val="center"/>
              <w:rPr>
                <w:rFonts w:ascii="新宋体" w:hAnsi="新宋体" w:eastAsia="新宋体" w:cs="宋体"/>
                <w:color w:val="000000" w:themeColor="text1"/>
                <w:kern w:val="24"/>
                <w:szCs w:val="21"/>
              </w:rPr>
            </w:pPr>
            <w:r>
              <w:rPr>
                <w:rFonts w:hint="eastAsia" w:ascii="宋体" w:hAnsi="宋体"/>
                <w:sz w:val="24"/>
              </w:rPr>
              <w:t>把</w:t>
            </w:r>
          </w:p>
        </w:tc>
        <w:tc>
          <w:tcPr>
            <w:tcW w:w="1011"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15</w:t>
            </w:r>
          </w:p>
        </w:tc>
        <w:tc>
          <w:tcPr>
            <w:tcW w:w="4961" w:type="dxa"/>
            <w:vAlign w:val="center"/>
          </w:tcPr>
          <w:p>
            <w:pPr>
              <w:widowControl/>
              <w:jc w:val="center"/>
              <w:rPr>
                <w:rFonts w:ascii="宋体" w:hAnsi="宋体"/>
                <w:szCs w:val="21"/>
              </w:rPr>
            </w:pPr>
            <w:r>
              <w:rPr>
                <w:rFonts w:hint="eastAsia" w:ascii="宋体" w:hAnsi="宋体"/>
                <w:sz w:val="24"/>
              </w:rPr>
              <w:t>角度圆盘刀</w:t>
            </w:r>
          </w:p>
        </w:tc>
        <w:tc>
          <w:tcPr>
            <w:tcW w:w="709" w:type="dxa"/>
            <w:vAlign w:val="center"/>
          </w:tcPr>
          <w:p>
            <w:pPr>
              <w:widowControl/>
              <w:jc w:val="center"/>
              <w:rPr>
                <w:rFonts w:ascii="新宋体" w:hAnsi="新宋体" w:eastAsia="新宋体" w:cs="Arial"/>
                <w:color w:val="000000" w:themeColor="text1"/>
                <w:kern w:val="0"/>
                <w:szCs w:val="21"/>
              </w:rPr>
            </w:pPr>
            <w:r>
              <w:rPr>
                <w:rFonts w:hint="eastAsia" w:ascii="宋体" w:hAnsi="宋体"/>
                <w:sz w:val="24"/>
              </w:rPr>
              <w:t>1</w:t>
            </w:r>
          </w:p>
        </w:tc>
        <w:tc>
          <w:tcPr>
            <w:tcW w:w="709" w:type="dxa"/>
            <w:vAlign w:val="center"/>
          </w:tcPr>
          <w:p>
            <w:pPr>
              <w:jc w:val="center"/>
              <w:rPr>
                <w:rFonts w:ascii="新宋体" w:hAnsi="新宋体" w:eastAsia="新宋体" w:cs="宋体"/>
                <w:color w:val="000000" w:themeColor="text1"/>
                <w:kern w:val="24"/>
                <w:szCs w:val="21"/>
              </w:rPr>
            </w:pPr>
            <w:r>
              <w:rPr>
                <w:rFonts w:hint="eastAsia" w:ascii="宋体" w:hAnsi="宋体"/>
                <w:sz w:val="24"/>
              </w:rPr>
              <w:t>把</w:t>
            </w:r>
          </w:p>
        </w:tc>
        <w:tc>
          <w:tcPr>
            <w:tcW w:w="1011"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16</w:t>
            </w:r>
          </w:p>
        </w:tc>
        <w:tc>
          <w:tcPr>
            <w:tcW w:w="4961" w:type="dxa"/>
            <w:vAlign w:val="center"/>
          </w:tcPr>
          <w:p>
            <w:pPr>
              <w:widowControl/>
              <w:spacing w:line="360" w:lineRule="exact"/>
              <w:jc w:val="center"/>
              <w:rPr>
                <w:rFonts w:ascii="宋体" w:hAnsi="宋体"/>
                <w:szCs w:val="21"/>
              </w:rPr>
            </w:pPr>
            <w:r>
              <w:rPr>
                <w:rFonts w:hint="eastAsia" w:ascii="宋体" w:hAnsi="宋体"/>
                <w:sz w:val="24"/>
              </w:rPr>
              <w:t>耳剥离子</w:t>
            </w:r>
          </w:p>
        </w:tc>
        <w:tc>
          <w:tcPr>
            <w:tcW w:w="709" w:type="dxa"/>
            <w:vAlign w:val="center"/>
          </w:tcPr>
          <w:p>
            <w:pPr>
              <w:widowControl/>
              <w:jc w:val="center"/>
              <w:rPr>
                <w:rFonts w:ascii="新宋体" w:hAnsi="新宋体" w:eastAsia="新宋体" w:cs="Arial"/>
                <w:color w:val="000000" w:themeColor="text1"/>
                <w:kern w:val="0"/>
                <w:szCs w:val="21"/>
              </w:rPr>
            </w:pPr>
            <w:r>
              <w:rPr>
                <w:rFonts w:hint="eastAsia" w:ascii="宋体" w:hAnsi="宋体"/>
                <w:sz w:val="24"/>
              </w:rPr>
              <w:t>1</w:t>
            </w:r>
          </w:p>
        </w:tc>
        <w:tc>
          <w:tcPr>
            <w:tcW w:w="709" w:type="dxa"/>
            <w:vAlign w:val="center"/>
          </w:tcPr>
          <w:p>
            <w:pPr>
              <w:jc w:val="center"/>
              <w:rPr>
                <w:rFonts w:ascii="新宋体" w:hAnsi="新宋体" w:eastAsia="新宋体" w:cs="宋体"/>
                <w:color w:val="000000" w:themeColor="text1"/>
                <w:kern w:val="24"/>
                <w:szCs w:val="21"/>
              </w:rPr>
            </w:pPr>
            <w:r>
              <w:rPr>
                <w:rFonts w:hint="eastAsia" w:ascii="宋体" w:hAnsi="宋体"/>
                <w:sz w:val="24"/>
              </w:rPr>
              <w:t>把</w:t>
            </w:r>
          </w:p>
        </w:tc>
        <w:tc>
          <w:tcPr>
            <w:tcW w:w="1011"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17</w:t>
            </w:r>
          </w:p>
        </w:tc>
        <w:tc>
          <w:tcPr>
            <w:tcW w:w="4961" w:type="dxa"/>
            <w:vAlign w:val="center"/>
          </w:tcPr>
          <w:p>
            <w:pPr>
              <w:widowControl/>
              <w:jc w:val="center"/>
              <w:rPr>
                <w:rFonts w:ascii="宋体" w:hAnsi="宋体"/>
                <w:szCs w:val="21"/>
              </w:rPr>
            </w:pPr>
            <w:r>
              <w:rPr>
                <w:rFonts w:hint="eastAsia" w:ascii="宋体" w:hAnsi="宋体"/>
                <w:sz w:val="24"/>
              </w:rPr>
              <w:t>耳剥离子</w:t>
            </w:r>
          </w:p>
        </w:tc>
        <w:tc>
          <w:tcPr>
            <w:tcW w:w="709" w:type="dxa"/>
            <w:vAlign w:val="center"/>
          </w:tcPr>
          <w:p>
            <w:pPr>
              <w:widowControl/>
              <w:jc w:val="center"/>
              <w:rPr>
                <w:rFonts w:ascii="新宋体" w:hAnsi="新宋体" w:eastAsia="新宋体" w:cs="Arial"/>
                <w:color w:val="000000" w:themeColor="text1"/>
                <w:kern w:val="0"/>
                <w:szCs w:val="21"/>
              </w:rPr>
            </w:pPr>
            <w:r>
              <w:rPr>
                <w:rFonts w:hint="eastAsia" w:ascii="宋体" w:hAnsi="宋体"/>
                <w:sz w:val="24"/>
              </w:rPr>
              <w:t>1</w:t>
            </w:r>
          </w:p>
        </w:tc>
        <w:tc>
          <w:tcPr>
            <w:tcW w:w="709" w:type="dxa"/>
            <w:vAlign w:val="center"/>
          </w:tcPr>
          <w:p>
            <w:pPr>
              <w:jc w:val="center"/>
              <w:rPr>
                <w:rFonts w:ascii="新宋体" w:hAnsi="新宋体" w:eastAsia="新宋体" w:cs="宋体"/>
                <w:color w:val="000000" w:themeColor="text1"/>
                <w:kern w:val="24"/>
                <w:szCs w:val="21"/>
              </w:rPr>
            </w:pPr>
            <w:r>
              <w:rPr>
                <w:rFonts w:hint="eastAsia" w:ascii="宋体" w:hAnsi="宋体"/>
                <w:sz w:val="24"/>
              </w:rPr>
              <w:t>把</w:t>
            </w:r>
          </w:p>
        </w:tc>
        <w:tc>
          <w:tcPr>
            <w:tcW w:w="1011" w:type="dxa"/>
            <w:vAlign w:val="center"/>
          </w:tcPr>
          <w:p>
            <w:pPr>
              <w:jc w:val="center"/>
              <w:rPr>
                <w:rFonts w:ascii="宋体" w:hAnsi="宋体"/>
                <w:color w:val="000000" w:themeColor="text1"/>
                <w:szCs w:val="21"/>
              </w:rPr>
            </w:pPr>
          </w:p>
        </w:tc>
      </w:tr>
    </w:tbl>
    <w:p/>
    <w:p>
      <w:pPr>
        <w:pStyle w:val="29"/>
        <w:numPr>
          <w:ilvl w:val="0"/>
          <w:numId w:val="0"/>
        </w:numPr>
        <w:tabs>
          <w:tab w:val="left" w:pos="420"/>
          <w:tab w:val="left" w:pos="540"/>
        </w:tabs>
        <w:adjustRightInd w:val="0"/>
        <w:snapToGrid w:val="0"/>
        <w:ind w:leftChars="0"/>
        <w:rPr>
          <w:rFonts w:hint="eastAsia" w:hAnsi="宋体"/>
          <w:b/>
          <w:color w:val="auto"/>
          <w:lang w:val="en-US" w:eastAsia="zh-CN"/>
        </w:rPr>
      </w:pPr>
    </w:p>
    <w:p>
      <w:pPr>
        <w:pStyle w:val="29"/>
        <w:numPr>
          <w:ilvl w:val="0"/>
          <w:numId w:val="0"/>
        </w:numPr>
        <w:tabs>
          <w:tab w:val="left" w:pos="420"/>
          <w:tab w:val="left" w:pos="540"/>
        </w:tabs>
        <w:adjustRightInd w:val="0"/>
        <w:snapToGrid w:val="0"/>
        <w:ind w:leftChars="0"/>
        <w:rPr>
          <w:rFonts w:hAnsi="宋体"/>
          <w:b/>
          <w:color w:val="auto"/>
        </w:rPr>
      </w:pPr>
      <w:r>
        <w:rPr>
          <w:rFonts w:hint="eastAsia" w:hAnsi="宋体"/>
          <w:b/>
          <w:color w:val="auto"/>
          <w:lang w:val="en-US" w:eastAsia="zh-CN"/>
        </w:rPr>
        <w:t>五、</w:t>
      </w:r>
      <w:r>
        <w:rPr>
          <w:rFonts w:hint="eastAsia" w:hAnsi="宋体"/>
          <w:b/>
          <w:color w:val="auto"/>
        </w:rPr>
        <w:t>耗材、试剂</w:t>
      </w:r>
      <w:r>
        <w:rPr>
          <w:rFonts w:hint="eastAsia" w:hAnsi="宋体"/>
          <w:b/>
          <w:color w:val="auto"/>
          <w:lang w:eastAsia="zh-CN"/>
        </w:rPr>
        <w:t>、</w:t>
      </w:r>
      <w:r>
        <w:rPr>
          <w:rFonts w:hint="eastAsia" w:hAnsi="宋体"/>
          <w:b/>
          <w:color w:val="auto"/>
        </w:rPr>
        <w:t>可选配件</w:t>
      </w:r>
      <w:r>
        <w:rPr>
          <w:rFonts w:hint="eastAsia" w:hAnsi="宋体"/>
          <w:b/>
          <w:color w:val="auto"/>
          <w:lang w:val="en-US" w:eastAsia="zh-CN"/>
        </w:rPr>
        <w:t>及</w:t>
      </w:r>
      <w:r>
        <w:rPr>
          <w:rFonts w:hint="eastAsia" w:hAnsi="宋体"/>
          <w:b/>
          <w:color w:val="auto"/>
        </w:rPr>
        <w:t>易损配件报价要求</w:t>
      </w:r>
      <w:r>
        <w:rPr>
          <w:rFonts w:hint="eastAsia" w:hAnsi="宋体"/>
          <w:b/>
          <w:color w:val="auto"/>
          <w:lang w:eastAsia="zh-CN"/>
        </w:rPr>
        <w:t>。</w:t>
      </w:r>
    </w:p>
    <w:p>
      <w:pPr>
        <w:numPr>
          <w:ilvl w:val="0"/>
          <w:numId w:val="1"/>
        </w:numPr>
        <w:spacing w:line="460" w:lineRule="atLeast"/>
        <w:ind w:firstLine="422" w:firstLineChars="200"/>
        <w:rPr>
          <w:rFonts w:hint="eastAsia" w:ascii="宋体" w:hAnsi="宋体" w:cs="宋体"/>
          <w:color w:val="auto"/>
          <w:kern w:val="0"/>
          <w:szCs w:val="21"/>
        </w:rPr>
      </w:pPr>
      <w:r>
        <w:rPr>
          <w:rFonts w:hint="eastAsia" w:ascii="宋体" w:hAnsi="宋体" w:cs="宋体"/>
          <w:b/>
          <w:bCs/>
          <w:color w:val="auto"/>
          <w:szCs w:val="21"/>
        </w:rPr>
        <w:t>★</w:t>
      </w:r>
      <w:r>
        <w:rPr>
          <w:rFonts w:hint="eastAsia"/>
          <w:color w:val="auto"/>
        </w:rPr>
        <w:t>如所采购设备涉及到耗材、试剂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易损配件要求投标人填报相关价格（格式详见招标文件“耗材、试剂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易损配件报价表”）作为投标文件一部份，</w:t>
      </w:r>
      <w:r>
        <w:rPr>
          <w:rFonts w:hint="eastAsia" w:ascii="宋体" w:hAnsi="宋体" w:cs="宋体"/>
          <w:b/>
          <w:bCs/>
          <w:color w:val="FF0000"/>
          <w:kern w:val="0"/>
          <w:szCs w:val="21"/>
        </w:rPr>
        <w:t>如未填写，将被视为未实质性满足招标文件要求作投标无效处理。</w:t>
      </w:r>
    </w:p>
    <w:p>
      <w:pPr>
        <w:numPr>
          <w:ilvl w:val="0"/>
          <w:numId w:val="1"/>
        </w:numPr>
        <w:spacing w:line="460" w:lineRule="atLeast"/>
        <w:ind w:firstLine="420" w:firstLineChars="200"/>
        <w:rPr>
          <w:rFonts w:hint="eastAsia"/>
          <w:color w:val="auto"/>
        </w:rPr>
      </w:pPr>
      <w:r>
        <w:rPr>
          <w:rFonts w:hint="eastAsia"/>
          <w:color w:val="auto"/>
        </w:rPr>
        <w:t>需要同时提供该耗材、试剂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易损配件的历史成交记录（如合同关键页、发票等能有效证明成交记录的材料）</w:t>
      </w:r>
      <w:r>
        <w:rPr>
          <w:rFonts w:hint="eastAsia"/>
          <w:color w:val="auto"/>
          <w:lang w:eastAsia="zh-CN"/>
        </w:rPr>
        <w:t>，</w:t>
      </w:r>
      <w:r>
        <w:rPr>
          <w:rFonts w:hint="eastAsia"/>
          <w:color w:val="auto"/>
        </w:rPr>
        <w:t>并承诺以最低市场价向医院提供。</w:t>
      </w:r>
    </w:p>
    <w:p>
      <w:pPr>
        <w:rPr>
          <w:color w:val="auto"/>
        </w:rPr>
      </w:pPr>
    </w:p>
    <w:tbl>
      <w:tblPr>
        <w:tblStyle w:val="54"/>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09"/>
        <w:gridCol w:w="851"/>
        <w:gridCol w:w="850"/>
        <w:gridCol w:w="851"/>
        <w:gridCol w:w="992"/>
        <w:gridCol w:w="992"/>
        <w:gridCol w:w="1159"/>
        <w:gridCol w:w="1100"/>
        <w:gridCol w:w="69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510"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Cs w:val="21"/>
              </w:rPr>
            </w:pPr>
            <w:r>
              <w:rPr>
                <w:rFonts w:hint="eastAsia"/>
                <w:b/>
                <w:bCs/>
                <w:color w:val="auto"/>
                <w:sz w:val="30"/>
                <w:szCs w:val="30"/>
              </w:rPr>
              <w:t>耗材、试剂</w:t>
            </w:r>
            <w:r>
              <w:rPr>
                <w:rFonts w:hint="eastAsia"/>
                <w:b/>
                <w:bCs/>
                <w:color w:val="auto"/>
                <w:sz w:val="30"/>
                <w:szCs w:val="30"/>
                <w:lang w:eastAsia="zh-CN"/>
              </w:rPr>
              <w:t>、</w:t>
            </w:r>
            <w:r>
              <w:rPr>
                <w:rFonts w:hint="eastAsia"/>
                <w:b/>
                <w:bCs/>
                <w:color w:val="auto"/>
                <w:sz w:val="30"/>
                <w:szCs w:val="30"/>
              </w:rPr>
              <w:t>可选配件</w:t>
            </w:r>
            <w:r>
              <w:rPr>
                <w:rFonts w:hint="eastAsia"/>
                <w:b/>
                <w:bCs/>
                <w:color w:val="auto"/>
                <w:sz w:val="30"/>
                <w:szCs w:val="30"/>
                <w:lang w:val="en-US" w:eastAsia="zh-CN"/>
              </w:rPr>
              <w:t>及</w:t>
            </w:r>
            <w:r>
              <w:rPr>
                <w:rFonts w:hint="eastAsia"/>
                <w:b/>
                <w:bCs/>
                <w:color w:val="auto"/>
                <w:sz w:val="30"/>
                <w:szCs w:val="30"/>
              </w:rPr>
              <w:t>易损配件报价表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b/>
                <w:color w:val="auto"/>
                <w:szCs w:val="21"/>
              </w:rPr>
              <w:t>序号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货物名称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市平台编码</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产品注册证号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规格</w:t>
            </w:r>
          </w:p>
          <w:p>
            <w:pPr>
              <w:jc w:val="center"/>
              <w:rPr>
                <w:rFonts w:hint="eastAsia" w:ascii="宋体" w:hAnsi="宋体" w:cs="宋体"/>
                <w:b/>
                <w:color w:val="auto"/>
                <w:szCs w:val="21"/>
              </w:rPr>
            </w:pPr>
            <w:r>
              <w:rPr>
                <w:rFonts w:hint="eastAsia" w:ascii="宋体" w:hAnsi="宋体" w:cs="宋体"/>
                <w:b/>
                <w:color w:val="auto"/>
                <w:szCs w:val="21"/>
              </w:rPr>
              <w:t>型号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bCs/>
                <w:color w:val="auto"/>
                <w:szCs w:val="21"/>
              </w:rPr>
              <w:t>原产地/品牌</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生产企业</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包装规格</w:t>
            </w:r>
          </w:p>
        </w:tc>
        <w:tc>
          <w:tcPr>
            <w:tcW w:w="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r>
              <w:rPr>
                <w:rFonts w:hint="eastAsia" w:ascii="宋体" w:hAnsi="宋体" w:cs="宋体"/>
                <w:color w:val="auto"/>
                <w:sz w:val="24"/>
              </w:rPr>
              <w:t>1</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bl>
    <w:p/>
    <w:p>
      <w:pPr>
        <w:pStyle w:val="21"/>
        <w:keepNext w:val="0"/>
        <w:keepLines w:val="0"/>
        <w:pageBreakBefore w:val="0"/>
        <w:widowControl w:val="0"/>
        <w:numPr>
          <w:ilvl w:val="0"/>
          <w:numId w:val="0"/>
        </w:numPr>
        <w:tabs>
          <w:tab w:val="left" w:pos="562"/>
          <w:tab w:val="left" w:pos="3372"/>
          <w:tab w:val="left" w:pos="3653"/>
        </w:tabs>
        <w:kinsoku/>
        <w:wordWrap/>
        <w:overflowPunct/>
        <w:topLinePunct w:val="0"/>
        <w:autoSpaceDE/>
        <w:autoSpaceDN/>
        <w:bidi w:val="0"/>
        <w:adjustRightInd w:val="0"/>
        <w:snapToGrid w:val="0"/>
        <w:spacing w:line="460" w:lineRule="atLeast"/>
        <w:textAlignment w:val="auto"/>
        <w:rPr>
          <w:rFonts w:hint="eastAsia"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六、商务要求：</w:t>
      </w:r>
    </w:p>
    <w:tbl>
      <w:tblPr>
        <w:tblStyle w:val="54"/>
        <w:tblW w:w="4879" w:type="pct"/>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1647"/>
        <w:gridCol w:w="5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6" w:type="pct"/>
            <w:vAlign w:val="center"/>
          </w:tcPr>
          <w:p>
            <w:pPr>
              <w:jc w:val="center"/>
              <w:rPr>
                <w:b/>
                <w:color w:val="auto"/>
                <w:highlight w:val="none"/>
              </w:rPr>
            </w:pPr>
            <w:r>
              <w:rPr>
                <w:rFonts w:hint="eastAsia"/>
                <w:b/>
                <w:color w:val="auto"/>
                <w:highlight w:val="none"/>
              </w:rPr>
              <w:t>序号</w:t>
            </w:r>
          </w:p>
        </w:tc>
        <w:tc>
          <w:tcPr>
            <w:tcW w:w="990" w:type="pct"/>
            <w:vAlign w:val="center"/>
          </w:tcPr>
          <w:p>
            <w:pPr>
              <w:jc w:val="center"/>
              <w:rPr>
                <w:b/>
                <w:color w:val="auto"/>
                <w:highlight w:val="none"/>
              </w:rPr>
            </w:pPr>
            <w:r>
              <w:rPr>
                <w:rFonts w:hint="eastAsia"/>
                <w:b/>
                <w:color w:val="auto"/>
                <w:highlight w:val="none"/>
              </w:rPr>
              <w:t>目录</w:t>
            </w:r>
          </w:p>
        </w:tc>
        <w:tc>
          <w:tcPr>
            <w:tcW w:w="3362" w:type="pct"/>
            <w:vAlign w:val="center"/>
          </w:tcPr>
          <w:p>
            <w:pPr>
              <w:jc w:val="center"/>
              <w:rPr>
                <w:b/>
                <w:color w:val="auto"/>
                <w:highlight w:val="none"/>
              </w:rPr>
            </w:pPr>
            <w:r>
              <w:rPr>
                <w:rFonts w:hint="eastAsia"/>
                <w:b/>
                <w:color w:val="auto"/>
                <w:highlight w:val="none"/>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646" w:type="pct"/>
            <w:vMerge w:val="restart"/>
            <w:vAlign w:val="center"/>
          </w:tcPr>
          <w:p>
            <w:pPr>
              <w:jc w:val="center"/>
              <w:rPr>
                <w:b/>
                <w:color w:val="auto"/>
                <w:highlight w:val="none"/>
              </w:rPr>
            </w:pPr>
            <w:r>
              <w:rPr>
                <w:rFonts w:hint="eastAsia"/>
                <w:b/>
                <w:color w:val="auto"/>
                <w:highlight w:val="none"/>
              </w:rPr>
              <w:t>（一）免费保修期内售后服务要求</w:t>
            </w:r>
          </w:p>
        </w:tc>
        <w:tc>
          <w:tcPr>
            <w:tcW w:w="990" w:type="pct"/>
            <w:vAlign w:val="center"/>
          </w:tcPr>
          <w:p>
            <w:pPr>
              <w:jc w:val="center"/>
              <w:rPr>
                <w:color w:val="auto"/>
                <w:highlight w:val="none"/>
              </w:rPr>
            </w:pPr>
            <w:r>
              <w:rPr>
                <w:rFonts w:hint="eastAsia"/>
                <w:color w:val="auto"/>
                <w:highlight w:val="none"/>
              </w:rPr>
              <w:t>免费保修期</w:t>
            </w:r>
          </w:p>
        </w:tc>
        <w:tc>
          <w:tcPr>
            <w:tcW w:w="3362" w:type="pct"/>
          </w:tcPr>
          <w:p>
            <w:pPr>
              <w:rPr>
                <w:b/>
                <w:color w:val="auto"/>
                <w:highlight w:val="none"/>
              </w:rPr>
            </w:pPr>
            <w:r>
              <w:rPr>
                <w:rFonts w:hint="eastAsia"/>
                <w:b/>
                <w:bCs/>
                <w:color w:val="FF0000"/>
                <w:szCs w:val="21"/>
                <w:highlight w:val="none"/>
              </w:rPr>
              <w:t>1</w:t>
            </w:r>
            <w:r>
              <w:rPr>
                <w:rFonts w:hint="eastAsia"/>
                <w:b/>
                <w:bCs/>
                <w:color w:val="FF0000"/>
                <w:szCs w:val="21"/>
                <w:highlight w:val="none"/>
                <w:lang w:eastAsia="zh-CN"/>
              </w:rPr>
              <w:t>、</w:t>
            </w:r>
            <w:r>
              <w:rPr>
                <w:rFonts w:hint="eastAsia" w:asciiTheme="minorEastAsia" w:hAnsiTheme="minorEastAsia" w:eastAsiaTheme="minorEastAsia"/>
                <w:b/>
                <w:bCs/>
                <w:color w:val="FF0000"/>
                <w:szCs w:val="21"/>
              </w:rPr>
              <w:t>★</w:t>
            </w:r>
            <w:r>
              <w:rPr>
                <w:rFonts w:hint="eastAsia"/>
                <w:b/>
                <w:bCs/>
                <w:color w:val="FF0000"/>
                <w:szCs w:val="21"/>
                <w:highlight w:val="none"/>
              </w:rPr>
              <w:t>货物原厂免费保修期</w:t>
            </w:r>
            <w:r>
              <w:rPr>
                <w:rFonts w:hint="eastAsia"/>
                <w:b/>
                <w:bCs/>
                <w:color w:val="FF0000"/>
                <w:szCs w:val="21"/>
                <w:highlight w:val="none"/>
                <w:u w:val="single"/>
              </w:rPr>
              <w:t xml:space="preserve"> 3 </w:t>
            </w:r>
            <w:r>
              <w:rPr>
                <w:rFonts w:hint="eastAsia"/>
                <w:b/>
                <w:bCs/>
                <w:color w:val="FF0000"/>
                <w:szCs w:val="21"/>
                <w:highlight w:val="none"/>
              </w:rPr>
              <w:t>年（含附件），时间自最终验收合格并交付使用之日起计算，以用户设备验收单日期为准。终身免费维护。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646" w:type="pct"/>
            <w:vMerge w:val="continue"/>
            <w:vAlign w:val="center"/>
          </w:tcPr>
          <w:p>
            <w:pPr>
              <w:jc w:val="center"/>
              <w:rPr>
                <w:b/>
                <w:color w:val="auto"/>
                <w:highlight w:val="none"/>
              </w:rPr>
            </w:pPr>
          </w:p>
        </w:tc>
        <w:tc>
          <w:tcPr>
            <w:tcW w:w="990" w:type="pct"/>
            <w:vAlign w:val="center"/>
          </w:tcPr>
          <w:p>
            <w:pPr>
              <w:jc w:val="center"/>
              <w:rPr>
                <w:color w:val="auto"/>
                <w:highlight w:val="none"/>
              </w:rPr>
            </w:pPr>
            <w:r>
              <w:rPr>
                <w:rFonts w:hint="eastAsia"/>
                <w:color w:val="auto"/>
                <w:highlight w:val="none"/>
              </w:rPr>
              <w:t>响应时间</w:t>
            </w:r>
          </w:p>
        </w:tc>
        <w:tc>
          <w:tcPr>
            <w:tcW w:w="3362" w:type="pct"/>
          </w:tcPr>
          <w:p>
            <w:pPr>
              <w:rPr>
                <w:b/>
                <w:color w:val="auto"/>
                <w:highlight w:val="none"/>
              </w:rPr>
            </w:pPr>
            <w:r>
              <w:rPr>
                <w:rFonts w:hint="eastAsia"/>
                <w:bCs/>
                <w:color w:val="auto"/>
                <w:szCs w:val="21"/>
                <w:highlight w:val="none"/>
              </w:rPr>
              <w:t>2</w:t>
            </w:r>
            <w:r>
              <w:rPr>
                <w:rFonts w:hint="eastAsia"/>
                <w:bCs/>
                <w:color w:val="auto"/>
                <w:szCs w:val="21"/>
                <w:highlight w:val="none"/>
                <w:lang w:eastAsia="zh-CN"/>
              </w:rPr>
              <w:t>、</w:t>
            </w:r>
            <w:r>
              <w:rPr>
                <w:rFonts w:hint="eastAsia"/>
                <w:bCs/>
                <w:color w:val="auto"/>
                <w:szCs w:val="21"/>
                <w:highlight w:val="none"/>
              </w:rPr>
              <w:t>由产生厂家提供售后服务，维修响应时间8小时，维修人员24小时内赶到现场进行修理或更换。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646" w:type="pct"/>
            <w:vMerge w:val="continue"/>
            <w:vAlign w:val="center"/>
          </w:tcPr>
          <w:p>
            <w:pPr>
              <w:jc w:val="center"/>
              <w:rPr>
                <w:b/>
                <w:color w:val="auto"/>
                <w:highlight w:val="none"/>
              </w:rPr>
            </w:pPr>
          </w:p>
        </w:tc>
        <w:tc>
          <w:tcPr>
            <w:tcW w:w="990" w:type="pct"/>
            <w:vMerge w:val="restart"/>
            <w:vAlign w:val="center"/>
          </w:tcPr>
          <w:p>
            <w:pPr>
              <w:jc w:val="center"/>
              <w:rPr>
                <w:b/>
                <w:color w:val="auto"/>
                <w:highlight w:val="none"/>
              </w:rPr>
            </w:pPr>
            <w:r>
              <w:rPr>
                <w:rFonts w:hint="eastAsia"/>
                <w:color w:val="auto"/>
                <w:highlight w:val="none"/>
              </w:rPr>
              <w:t>其他</w:t>
            </w:r>
          </w:p>
        </w:tc>
        <w:tc>
          <w:tcPr>
            <w:tcW w:w="3362" w:type="pct"/>
            <w:vAlign w:val="center"/>
          </w:tcPr>
          <w:p>
            <w:pPr>
              <w:rPr>
                <w:b/>
                <w:color w:val="auto"/>
                <w:highlight w:val="none"/>
              </w:rPr>
            </w:pPr>
            <w:r>
              <w:rPr>
                <w:rFonts w:hint="eastAsia" w:asciiTheme="minorEastAsia" w:hAnsiTheme="minorEastAsia" w:eastAsiaTheme="minorEastAsia"/>
                <w:color w:val="auto"/>
                <w:szCs w:val="21"/>
                <w:highlight w:val="none"/>
                <w:lang w:val="en-US" w:eastAsia="zh-CN"/>
              </w:rPr>
              <w:t>3、</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lang w:eastAsia="zh-CN"/>
              </w:rPr>
              <w:t>人</w:t>
            </w:r>
            <w:r>
              <w:rPr>
                <w:rFonts w:asciiTheme="minorEastAsia" w:hAnsiTheme="minorEastAsia" w:eastAsiaTheme="minorEastAsia"/>
                <w:color w:val="auto"/>
                <w:szCs w:val="21"/>
                <w:highlight w:val="none"/>
              </w:rPr>
              <w:t>提供</w:t>
            </w:r>
            <w:r>
              <w:rPr>
                <w:rFonts w:asciiTheme="minorEastAsia" w:hAnsiTheme="minorEastAsia" w:eastAsiaTheme="minorEastAsia"/>
                <w:b/>
                <w:bCs/>
                <w:color w:val="auto"/>
                <w:szCs w:val="21"/>
                <w:highlight w:val="none"/>
              </w:rPr>
              <w:t>售后服务承诺书</w:t>
            </w:r>
            <w:r>
              <w:rPr>
                <w:rFonts w:asciiTheme="minorEastAsia" w:hAnsiTheme="minorEastAsia" w:eastAsiaTheme="minorEastAsia"/>
                <w:color w:val="auto"/>
                <w:szCs w:val="21"/>
                <w:highlight w:val="none"/>
              </w:rPr>
              <w:t>，由生产厂家提供售后服务，生产厂家有固定、专业的售后机构，有专职厂家工程师提供应用培训及上门维修服务</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646" w:type="pct"/>
            <w:vMerge w:val="continue"/>
            <w:vAlign w:val="center"/>
          </w:tcPr>
          <w:p>
            <w:pPr>
              <w:jc w:val="center"/>
              <w:rPr>
                <w:b/>
                <w:color w:val="auto"/>
                <w:highlight w:val="none"/>
              </w:rPr>
            </w:pPr>
          </w:p>
        </w:tc>
        <w:tc>
          <w:tcPr>
            <w:tcW w:w="990" w:type="pct"/>
            <w:vMerge w:val="continue"/>
            <w:vAlign w:val="center"/>
          </w:tcPr>
          <w:p>
            <w:pPr>
              <w:rPr>
                <w:color w:val="auto"/>
                <w:highlight w:val="none"/>
              </w:rPr>
            </w:pPr>
          </w:p>
        </w:tc>
        <w:tc>
          <w:tcPr>
            <w:tcW w:w="3362" w:type="pct"/>
            <w:vAlign w:val="center"/>
          </w:tcPr>
          <w:p>
            <w:pPr>
              <w:rPr>
                <w:bCs/>
                <w:color w:val="auto"/>
                <w:szCs w:val="21"/>
                <w:highlight w:val="none"/>
              </w:rPr>
            </w:pP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每年为所供设备提供定期预防性维护保养次数不少于4次。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46" w:type="pct"/>
            <w:vMerge w:val="continue"/>
            <w:vAlign w:val="center"/>
          </w:tcPr>
          <w:p>
            <w:pPr>
              <w:jc w:val="center"/>
              <w:rPr>
                <w:b/>
                <w:color w:val="auto"/>
                <w:highlight w:val="none"/>
              </w:rPr>
            </w:pPr>
          </w:p>
        </w:tc>
        <w:tc>
          <w:tcPr>
            <w:tcW w:w="990" w:type="pct"/>
            <w:vMerge w:val="continue"/>
            <w:vAlign w:val="center"/>
          </w:tcPr>
          <w:p>
            <w:pPr>
              <w:rPr>
                <w:color w:val="auto"/>
                <w:highlight w:val="none"/>
              </w:rPr>
            </w:pPr>
          </w:p>
        </w:tc>
        <w:tc>
          <w:tcPr>
            <w:tcW w:w="3362" w:type="pct"/>
            <w:vAlign w:val="center"/>
          </w:tcPr>
          <w:p>
            <w:pPr>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在保修期内</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应确保年开机率在</w:t>
            </w:r>
            <w:r>
              <w:rPr>
                <w:rFonts w:asciiTheme="minorEastAsia" w:hAnsiTheme="minorEastAsia" w:eastAsiaTheme="minorEastAsia"/>
                <w:color w:val="auto"/>
                <w:szCs w:val="21"/>
                <w:highlight w:val="none"/>
              </w:rPr>
              <w:t>95%</w:t>
            </w:r>
            <w:r>
              <w:rPr>
                <w:rFonts w:hint="eastAsia" w:asciiTheme="minorEastAsia" w:hAnsiTheme="minorEastAsia" w:eastAsiaTheme="minorEastAsia"/>
                <w:color w:val="auto"/>
                <w:szCs w:val="21"/>
                <w:highlight w:val="none"/>
              </w:rPr>
              <w:t>以上</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若不能达到此开机率，将作以下处理：</w:t>
            </w:r>
            <w:r>
              <w:rPr>
                <w:rFonts w:asciiTheme="minorEastAsia" w:hAnsiTheme="minorEastAsia" w:eastAsiaTheme="minorEastAsia"/>
                <w:color w:val="auto"/>
                <w:szCs w:val="21"/>
                <w:highlight w:val="none"/>
              </w:rPr>
              <w:t>a.</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90-95%</w:t>
            </w:r>
            <w:r>
              <w:rPr>
                <w:rFonts w:hint="eastAsia" w:asciiTheme="minorEastAsia" w:hAnsiTheme="minorEastAsia" w:eastAsiaTheme="minorEastAsia"/>
                <w:color w:val="auto"/>
                <w:szCs w:val="21"/>
                <w:highlight w:val="none"/>
              </w:rPr>
              <w:t>之间按一赔二延长保修期；</w:t>
            </w:r>
            <w:r>
              <w:rPr>
                <w:rFonts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85-90%</w:t>
            </w:r>
            <w:r>
              <w:rPr>
                <w:rFonts w:hint="eastAsia" w:asciiTheme="minorEastAsia" w:hAnsiTheme="minorEastAsia" w:eastAsiaTheme="minorEastAsia"/>
                <w:color w:val="auto"/>
                <w:szCs w:val="21"/>
                <w:highlight w:val="none"/>
              </w:rPr>
              <w:t>之间按一赔五延长保修期；</w:t>
            </w:r>
            <w:r>
              <w:rPr>
                <w:rFonts w:asciiTheme="minorEastAsia" w:hAnsiTheme="minorEastAsia" w:eastAsiaTheme="minorEastAsia"/>
                <w:color w:val="auto"/>
                <w:szCs w:val="21"/>
                <w:highlight w:val="none"/>
              </w:rPr>
              <w:t>c.</w:t>
            </w:r>
            <w:r>
              <w:rPr>
                <w:rFonts w:hint="eastAsia" w:asciiTheme="minorEastAsia" w:hAnsiTheme="minorEastAsia" w:eastAsiaTheme="minorEastAsia"/>
                <w:color w:val="auto"/>
                <w:szCs w:val="21"/>
                <w:highlight w:val="none"/>
              </w:rPr>
              <w:t>年开机率低于</w:t>
            </w:r>
            <w:r>
              <w:rPr>
                <w:rFonts w:asciiTheme="minorEastAsia" w:hAnsiTheme="minorEastAsia" w:eastAsiaTheme="minorEastAsia"/>
                <w:color w:val="auto"/>
                <w:szCs w:val="21"/>
                <w:highlight w:val="none"/>
              </w:rPr>
              <w:t>85%</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必须无条件更换新机，并重新计算保修期，以及赔偿</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646" w:type="pct"/>
            <w:vMerge w:val="continue"/>
            <w:vAlign w:val="center"/>
          </w:tcPr>
          <w:p>
            <w:pPr>
              <w:jc w:val="center"/>
              <w:rPr>
                <w:b/>
                <w:color w:val="auto"/>
                <w:highlight w:val="none"/>
              </w:rPr>
            </w:pPr>
          </w:p>
        </w:tc>
        <w:tc>
          <w:tcPr>
            <w:tcW w:w="990" w:type="pct"/>
            <w:vMerge w:val="continue"/>
            <w:vAlign w:val="center"/>
          </w:tcPr>
          <w:p>
            <w:pPr>
              <w:rPr>
                <w:color w:val="auto"/>
                <w:highlight w:val="none"/>
              </w:rPr>
            </w:pPr>
          </w:p>
        </w:tc>
        <w:tc>
          <w:tcPr>
            <w:tcW w:w="3362" w:type="pct"/>
            <w:vAlign w:val="center"/>
          </w:tcPr>
          <w:p>
            <w:pPr>
              <w:rPr>
                <w:rFonts w:asciiTheme="minorEastAsia" w:hAnsiTheme="minorEastAsia" w:eastAsiaTheme="minorEastAsia"/>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免费开放软件数据端口，支付对接医院HIS、PACS、LIS系统费用。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46" w:type="pct"/>
            <w:vMerge w:val="continue"/>
            <w:vAlign w:val="center"/>
          </w:tcPr>
          <w:p>
            <w:pPr>
              <w:jc w:val="center"/>
              <w:rPr>
                <w:b/>
                <w:color w:val="auto"/>
                <w:highlight w:val="none"/>
              </w:rPr>
            </w:pPr>
          </w:p>
        </w:tc>
        <w:tc>
          <w:tcPr>
            <w:tcW w:w="990" w:type="pct"/>
            <w:vMerge w:val="continue"/>
            <w:vAlign w:val="center"/>
          </w:tcPr>
          <w:p>
            <w:pPr>
              <w:rPr>
                <w:color w:val="auto"/>
                <w:highlight w:val="none"/>
              </w:rPr>
            </w:pPr>
          </w:p>
        </w:tc>
        <w:tc>
          <w:tcPr>
            <w:tcW w:w="3362" w:type="pct"/>
            <w:vAlign w:val="center"/>
          </w:tcPr>
          <w:p>
            <w:pPr>
              <w:rPr>
                <w:rFonts w:ascii="宋体" w:hAnsi="宋体"/>
                <w:bCs/>
                <w:color w:val="auto"/>
                <w:szCs w:val="21"/>
                <w:highlight w:val="none"/>
              </w:rPr>
            </w:pPr>
            <w:r>
              <w:rPr>
                <w:rFonts w:hint="eastAsia" w:ascii="宋体" w:hAnsi="宋体"/>
                <w:bCs/>
                <w:color w:val="auto"/>
                <w:szCs w:val="21"/>
                <w:highlight w:val="none"/>
                <w:lang w:val="en-US" w:eastAsia="zh-CN"/>
              </w:rPr>
              <w:t>7、</w:t>
            </w:r>
            <w:r>
              <w:rPr>
                <w:rFonts w:hint="eastAsia" w:ascii="宋体" w:hAnsi="宋体"/>
                <w:bCs/>
                <w:color w:val="auto"/>
                <w:szCs w:val="21"/>
                <w:highlight w:val="none"/>
              </w:rPr>
              <w:t>有</w:t>
            </w:r>
            <w:r>
              <w:rPr>
                <w:rFonts w:hint="eastAsia"/>
                <w:color w:val="auto"/>
                <w:highlight w:val="none"/>
              </w:rPr>
              <w:t>专业培训师负责机旁操作培训，直至</w:t>
            </w:r>
            <w:r>
              <w:rPr>
                <w:rFonts w:hint="eastAsia"/>
                <w:color w:val="auto"/>
                <w:highlight w:val="none"/>
                <w:lang w:eastAsia="zh-CN"/>
              </w:rPr>
              <w:t>采购人</w:t>
            </w:r>
            <w:r>
              <w:rPr>
                <w:rFonts w:hint="eastAsia"/>
                <w:color w:val="auto"/>
                <w:highlight w:val="none"/>
              </w:rPr>
              <w:t>熟练使用为止。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46" w:type="pct"/>
            <w:vMerge w:val="restart"/>
            <w:vAlign w:val="center"/>
          </w:tcPr>
          <w:p>
            <w:pPr>
              <w:jc w:val="center"/>
              <w:rPr>
                <w:b/>
                <w:color w:val="auto"/>
                <w:highlight w:val="none"/>
              </w:rPr>
            </w:pPr>
            <w:r>
              <w:rPr>
                <w:rFonts w:hint="eastAsia"/>
                <w:b/>
                <w:color w:val="auto"/>
                <w:highlight w:val="none"/>
              </w:rPr>
              <w:t>（二）免费保修期外售后服务要求</w:t>
            </w:r>
          </w:p>
        </w:tc>
        <w:tc>
          <w:tcPr>
            <w:tcW w:w="990" w:type="pct"/>
            <w:vAlign w:val="center"/>
          </w:tcPr>
          <w:p>
            <w:pPr>
              <w:jc w:val="center"/>
              <w:rPr>
                <w:color w:val="auto"/>
                <w:highlight w:val="none"/>
              </w:rPr>
            </w:pPr>
            <w:r>
              <w:rPr>
                <w:rFonts w:hint="eastAsia"/>
                <w:color w:val="auto"/>
                <w:highlight w:val="none"/>
              </w:rPr>
              <w:t>软件升级</w:t>
            </w:r>
          </w:p>
        </w:tc>
        <w:tc>
          <w:tcPr>
            <w:tcW w:w="3362" w:type="pct"/>
          </w:tcPr>
          <w:p>
            <w:pPr>
              <w:rPr>
                <w:b/>
                <w:color w:val="auto"/>
                <w:szCs w:val="21"/>
                <w:highlight w:val="none"/>
              </w:rPr>
            </w:pPr>
            <w:r>
              <w:rPr>
                <w:rFonts w:hint="eastAsia" w:ascii="宋体" w:hAnsi="宋体"/>
                <w:color w:val="auto"/>
                <w:szCs w:val="21"/>
                <w:highlight w:val="none"/>
              </w:rPr>
              <w:t>1</w:t>
            </w:r>
            <w:r>
              <w:rPr>
                <w:rFonts w:ascii="宋体" w:hAnsi="宋体"/>
                <w:color w:val="auto"/>
                <w:szCs w:val="21"/>
                <w:highlight w:val="none"/>
              </w:rPr>
              <w:t>提供</w:t>
            </w:r>
            <w:r>
              <w:rPr>
                <w:rFonts w:hint="eastAsia" w:ascii="宋体" w:hAnsi="宋体"/>
                <w:color w:val="auto"/>
                <w:szCs w:val="21"/>
                <w:highlight w:val="none"/>
                <w:lang w:eastAsia="zh-CN"/>
              </w:rPr>
              <w:t>采购人</w:t>
            </w:r>
            <w:r>
              <w:rPr>
                <w:rFonts w:ascii="宋体" w:hAnsi="宋体"/>
                <w:color w:val="auto"/>
                <w:szCs w:val="21"/>
                <w:highlight w:val="none"/>
              </w:rPr>
              <w:t>软件升级</w:t>
            </w:r>
            <w:r>
              <w:rPr>
                <w:rFonts w:hint="eastAsia"/>
                <w:color w:val="auto"/>
                <w:szCs w:val="21"/>
                <w:highlight w:val="none"/>
              </w:rPr>
              <w:t>，并免费提供升级所需的硬件。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6" w:type="pct"/>
            <w:vMerge w:val="continue"/>
            <w:vAlign w:val="center"/>
          </w:tcPr>
          <w:p>
            <w:pPr>
              <w:jc w:val="center"/>
              <w:rPr>
                <w:b/>
                <w:color w:val="auto"/>
                <w:highlight w:val="none"/>
              </w:rPr>
            </w:pPr>
          </w:p>
        </w:tc>
        <w:tc>
          <w:tcPr>
            <w:tcW w:w="990" w:type="pct"/>
            <w:vAlign w:val="center"/>
          </w:tcPr>
          <w:p>
            <w:pPr>
              <w:jc w:val="center"/>
              <w:rPr>
                <w:b/>
                <w:color w:val="auto"/>
                <w:highlight w:val="none"/>
              </w:rPr>
            </w:pPr>
            <w:r>
              <w:rPr>
                <w:rFonts w:hint="eastAsia"/>
                <w:color w:val="auto"/>
                <w:highlight w:val="none"/>
              </w:rPr>
              <w:t>软件合法性</w:t>
            </w:r>
          </w:p>
        </w:tc>
        <w:tc>
          <w:tcPr>
            <w:tcW w:w="3362" w:type="pct"/>
          </w:tcPr>
          <w:p>
            <w:pPr>
              <w:rPr>
                <w:b/>
                <w:color w:val="auto"/>
                <w:highlight w:val="none"/>
              </w:rPr>
            </w:pPr>
            <w:r>
              <w:rPr>
                <w:rFonts w:hint="eastAsia" w:asciiTheme="minorEastAsia" w:hAnsiTheme="minorEastAsia" w:eastAsiaTheme="minorEastAsia"/>
                <w:color w:val="auto"/>
                <w:szCs w:val="21"/>
                <w:highlight w:val="none"/>
              </w:rPr>
              <w:t>2软件终身免费使用，</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保证所使用软件的合法性，任何知识产权纠纷与采购人无关，造成任何损失由</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6" w:type="pct"/>
            <w:vMerge w:val="continue"/>
            <w:vAlign w:val="center"/>
          </w:tcPr>
          <w:p>
            <w:pPr>
              <w:jc w:val="center"/>
              <w:rPr>
                <w:b/>
                <w:color w:val="auto"/>
                <w:highlight w:val="none"/>
              </w:rPr>
            </w:pPr>
          </w:p>
        </w:tc>
        <w:tc>
          <w:tcPr>
            <w:tcW w:w="990" w:type="pct"/>
            <w:vAlign w:val="center"/>
          </w:tcPr>
          <w:p>
            <w:pPr>
              <w:jc w:val="center"/>
              <w:rPr>
                <w:b/>
                <w:color w:val="auto"/>
                <w:highlight w:val="none"/>
              </w:rPr>
            </w:pPr>
            <w:r>
              <w:rPr>
                <w:rFonts w:hint="eastAsia"/>
                <w:color w:val="auto"/>
                <w:highlight w:val="none"/>
              </w:rPr>
              <w:t>培训</w:t>
            </w:r>
          </w:p>
        </w:tc>
        <w:tc>
          <w:tcPr>
            <w:tcW w:w="3362" w:type="pct"/>
          </w:tcPr>
          <w:p>
            <w:pPr>
              <w:rPr>
                <w:b/>
                <w:color w:val="auto"/>
                <w:highlight w:val="none"/>
              </w:rPr>
            </w:pPr>
            <w:r>
              <w:rPr>
                <w:rFonts w:hint="eastAsia" w:asciiTheme="minorEastAsia" w:hAnsiTheme="minorEastAsia" w:eastAsiaTheme="minorEastAsia"/>
                <w:color w:val="auto"/>
                <w:szCs w:val="21"/>
                <w:highlight w:val="none"/>
              </w:rPr>
              <w:t>3有专业人员对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使用人员进行设备的基本结构、性能，日常的使用保养方法，紧急情况处理等相关内容的培训，并对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维修工程师进行工作原理，操作使用、维修维护、常见故障排除方法培训。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46" w:type="pct"/>
            <w:vMerge w:val="continue"/>
            <w:vAlign w:val="center"/>
          </w:tcPr>
          <w:p>
            <w:pPr>
              <w:jc w:val="center"/>
              <w:rPr>
                <w:b/>
                <w:color w:val="auto"/>
                <w:highlight w:val="none"/>
              </w:rPr>
            </w:pPr>
          </w:p>
        </w:tc>
        <w:tc>
          <w:tcPr>
            <w:tcW w:w="990" w:type="pct"/>
            <w:vAlign w:val="center"/>
          </w:tcPr>
          <w:p>
            <w:pPr>
              <w:jc w:val="center"/>
              <w:rPr>
                <w:color w:val="auto"/>
                <w:highlight w:val="none"/>
              </w:rPr>
            </w:pPr>
            <w:r>
              <w:rPr>
                <w:rFonts w:hint="eastAsia"/>
                <w:color w:val="auto"/>
                <w:highlight w:val="none"/>
              </w:rPr>
              <w:t>售后服务</w:t>
            </w:r>
          </w:p>
        </w:tc>
        <w:tc>
          <w:tcPr>
            <w:tcW w:w="3362" w:type="pct"/>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4保修期满后</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要求免差旅费，先上门检修，并保证设备终身的维修零配件的供应及价格优惠。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6" w:type="pct"/>
            <w:vMerge w:val="restart"/>
            <w:vAlign w:val="center"/>
          </w:tcPr>
          <w:p>
            <w:pPr>
              <w:jc w:val="center"/>
              <w:rPr>
                <w:b/>
                <w:color w:val="auto"/>
                <w:highlight w:val="none"/>
              </w:rPr>
            </w:pPr>
            <w:r>
              <w:rPr>
                <w:rFonts w:hint="eastAsia"/>
                <w:b/>
                <w:color w:val="auto"/>
                <w:highlight w:val="none"/>
              </w:rPr>
              <w:t>（三）其他商务要求</w:t>
            </w:r>
          </w:p>
        </w:tc>
        <w:tc>
          <w:tcPr>
            <w:tcW w:w="990" w:type="pct"/>
            <w:vAlign w:val="center"/>
          </w:tcPr>
          <w:p>
            <w:pPr>
              <w:jc w:val="center"/>
              <w:rPr>
                <w:color w:val="auto"/>
                <w:highlight w:val="none"/>
              </w:rPr>
            </w:pPr>
            <w:r>
              <w:rPr>
                <w:rFonts w:hint="eastAsia"/>
                <w:color w:val="auto"/>
                <w:highlight w:val="none"/>
              </w:rPr>
              <w:t>关于交货</w:t>
            </w:r>
          </w:p>
        </w:tc>
        <w:tc>
          <w:tcPr>
            <w:tcW w:w="3362" w:type="pct"/>
          </w:tcPr>
          <w:p>
            <w:pPr>
              <w:rPr>
                <w:b/>
                <w:color w:val="auto"/>
                <w:highlight w:val="none"/>
              </w:rPr>
            </w:pPr>
            <w:r>
              <w:rPr>
                <w:rFonts w:ascii="宋体" w:hAnsi="宋体"/>
                <w:b/>
                <w:bCs/>
                <w:color w:val="FF0000"/>
                <w:szCs w:val="21"/>
                <w:highlight w:val="none"/>
              </w:rPr>
              <w:t>1</w:t>
            </w:r>
            <w:r>
              <w:rPr>
                <w:rFonts w:hint="eastAsia" w:ascii="宋体" w:hAnsi="宋体"/>
                <w:b/>
                <w:bCs/>
                <w:color w:val="FF0000"/>
                <w:szCs w:val="21"/>
                <w:highlight w:val="none"/>
                <w:lang w:eastAsia="zh-CN"/>
              </w:rPr>
              <w:t>、</w:t>
            </w:r>
            <w:r>
              <w:rPr>
                <w:rFonts w:hint="eastAsia" w:ascii="宋体" w:hAnsi="宋体"/>
                <w:b/>
                <w:bCs/>
                <w:color w:val="FF0000"/>
                <w:szCs w:val="21"/>
                <w:highlight w:val="none"/>
              </w:rPr>
              <w:t>交货期：签订合同之日起</w:t>
            </w:r>
            <w:r>
              <w:rPr>
                <w:rFonts w:hint="eastAsia" w:ascii="宋体" w:hAnsi="宋体"/>
                <w:b/>
                <w:bCs/>
                <w:color w:val="FF0000"/>
                <w:szCs w:val="21"/>
                <w:highlight w:val="none"/>
                <w:lang w:val="en-US" w:eastAsia="zh-CN"/>
              </w:rPr>
              <w:t>30</w:t>
            </w:r>
            <w:r>
              <w:rPr>
                <w:rFonts w:hint="eastAsia" w:ascii="宋体" w:hAnsi="宋体"/>
                <w:b/>
                <w:bCs/>
                <w:color w:val="FF0000"/>
                <w:szCs w:val="21"/>
                <w:highlight w:val="none"/>
              </w:rPr>
              <w:t>日历天内交货、安装、调试、验收完毕并交付使用。</w:t>
            </w:r>
            <w:r>
              <w:rPr>
                <w:rFonts w:hint="eastAsia" w:asciiTheme="minorEastAsia" w:hAnsiTheme="minorEastAsia" w:eastAsiaTheme="minorEastAsia"/>
                <w:b/>
                <w:bCs/>
                <w:color w:val="FF0000"/>
                <w:szCs w:val="21"/>
                <w:highlight w:val="none"/>
              </w:rPr>
              <w:t>安装标准:符合我国国家有关技术规范和技术标准；验收标准：应与投标文件技术标准一致 ,并符合我国有关技术规范和技术标准。</w:t>
            </w:r>
            <w:r>
              <w:rPr>
                <w:rFonts w:hint="eastAsia"/>
                <w:bCs/>
                <w:color w:val="auto"/>
                <w:szCs w:val="21"/>
                <w:highlight w:val="none"/>
                <w:lang w:eastAsia="zh-CN"/>
              </w:rPr>
              <w:t>中标人</w:t>
            </w:r>
            <w:r>
              <w:rPr>
                <w:rFonts w:hint="eastAsia"/>
                <w:bCs/>
                <w:color w:val="auto"/>
                <w:szCs w:val="21"/>
                <w:highlight w:val="none"/>
              </w:rPr>
              <w:t>必须承担的设备运输、安装调试、验收检测和提供设备操作说明书、维修手册、图纸等其他类似的义务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646" w:type="pct"/>
            <w:vMerge w:val="continue"/>
            <w:vAlign w:val="center"/>
          </w:tcPr>
          <w:p>
            <w:pPr>
              <w:jc w:val="center"/>
              <w:rPr>
                <w:b/>
                <w:color w:val="auto"/>
                <w:highlight w:val="none"/>
              </w:rPr>
            </w:pPr>
          </w:p>
        </w:tc>
        <w:tc>
          <w:tcPr>
            <w:tcW w:w="990" w:type="pct"/>
            <w:vAlign w:val="center"/>
          </w:tcPr>
          <w:p>
            <w:pPr>
              <w:jc w:val="center"/>
              <w:rPr>
                <w:color w:val="auto"/>
                <w:highlight w:val="none"/>
              </w:rPr>
            </w:pPr>
            <w:r>
              <w:rPr>
                <w:rFonts w:hint="eastAsia"/>
                <w:color w:val="auto"/>
                <w:highlight w:val="none"/>
              </w:rPr>
              <w:t>报价</w:t>
            </w:r>
          </w:p>
        </w:tc>
        <w:tc>
          <w:tcPr>
            <w:tcW w:w="3362" w:type="pct"/>
          </w:tcPr>
          <w:p>
            <w:pPr>
              <w:rPr>
                <w:bCs/>
                <w:color w:val="auto"/>
                <w:szCs w:val="21"/>
                <w:highlight w:val="none"/>
              </w:rPr>
            </w:pPr>
            <w:r>
              <w:rPr>
                <w:rFonts w:hint="eastAsia"/>
                <w:bCs/>
                <w:color w:val="auto"/>
                <w:szCs w:val="21"/>
                <w:highlight w:val="none"/>
                <w:lang w:val="en-US" w:eastAsia="zh-CN"/>
              </w:rPr>
              <w:t>2、</w:t>
            </w:r>
            <w:r>
              <w:rPr>
                <w:rFonts w:hint="eastAsia"/>
                <w:bCs/>
                <w:color w:val="auto"/>
                <w:szCs w:val="21"/>
                <w:highlight w:val="none"/>
              </w:rPr>
              <w:t>以人民币为结算货币，投标报价包含完成项目所需的一切费用，即：设备费、软件费、税费、运输费、装卸费、安装费、调试费、培训费、计量及技术服务费、机房改造费和一切不可预见费等一切费用，项目结算时不做任何单价或费用的调整。</w:t>
            </w:r>
            <w:r>
              <w:rPr>
                <w:rFonts w:hint="eastAsia"/>
                <w:bCs/>
                <w:color w:val="auto"/>
                <w:szCs w:val="21"/>
                <w:highlight w:val="none"/>
                <w:lang w:eastAsia="zh-CN"/>
              </w:rPr>
              <w:t>中标人</w:t>
            </w:r>
            <w:r>
              <w:rPr>
                <w:rFonts w:hint="eastAsia"/>
                <w:bCs/>
                <w:color w:val="auto"/>
                <w:szCs w:val="21"/>
                <w:highlight w:val="none"/>
              </w:rPr>
              <w:t>的投标总报价高于</w:t>
            </w:r>
            <w:r>
              <w:rPr>
                <w:rFonts w:hint="eastAsia"/>
                <w:bCs/>
                <w:color w:val="auto"/>
                <w:szCs w:val="21"/>
                <w:highlight w:val="none"/>
                <w:lang w:eastAsia="zh-CN"/>
              </w:rPr>
              <w:t>预算</w:t>
            </w:r>
            <w:r>
              <w:rPr>
                <w:rFonts w:hint="eastAsia"/>
                <w:bCs/>
                <w:color w:val="auto"/>
                <w:szCs w:val="21"/>
                <w:highlight w:val="none"/>
              </w:rPr>
              <w:t>金额为无效投标。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46" w:type="pct"/>
            <w:vMerge w:val="continue"/>
            <w:vAlign w:val="center"/>
          </w:tcPr>
          <w:p>
            <w:pPr>
              <w:jc w:val="center"/>
              <w:rPr>
                <w:b/>
                <w:color w:val="auto"/>
                <w:highlight w:val="none"/>
              </w:rPr>
            </w:pPr>
          </w:p>
        </w:tc>
        <w:tc>
          <w:tcPr>
            <w:tcW w:w="990" w:type="pct"/>
            <w:vMerge w:val="restart"/>
            <w:vAlign w:val="center"/>
          </w:tcPr>
          <w:p>
            <w:pPr>
              <w:jc w:val="center"/>
              <w:rPr>
                <w:color w:val="auto"/>
                <w:highlight w:val="none"/>
              </w:rPr>
            </w:pPr>
            <w:r>
              <w:rPr>
                <w:rFonts w:hint="eastAsia"/>
                <w:color w:val="auto"/>
                <w:highlight w:val="none"/>
              </w:rPr>
              <w:t>关于验收</w:t>
            </w:r>
          </w:p>
        </w:tc>
        <w:tc>
          <w:tcPr>
            <w:tcW w:w="3362" w:type="pct"/>
          </w:tcPr>
          <w:p>
            <w:pPr>
              <w:spacing w:line="340" w:lineRule="exact"/>
              <w:rPr>
                <w:bCs/>
                <w:color w:val="auto"/>
                <w:szCs w:val="21"/>
                <w:highlight w:val="none"/>
              </w:rPr>
            </w:pPr>
            <w:r>
              <w:rPr>
                <w:rFonts w:hint="eastAsia"/>
                <w:bCs/>
                <w:color w:val="auto"/>
                <w:szCs w:val="21"/>
                <w:highlight w:val="none"/>
                <w:lang w:val="en-US" w:eastAsia="zh-CN"/>
              </w:rPr>
              <w:t>3、</w:t>
            </w:r>
            <w:r>
              <w:rPr>
                <w:rFonts w:hint="eastAsia"/>
                <w:bCs/>
                <w:color w:val="auto"/>
                <w:szCs w:val="21"/>
                <w:highlight w:val="none"/>
                <w:lang w:eastAsia="zh-CN"/>
              </w:rPr>
              <w:t>中标人</w:t>
            </w:r>
            <w:r>
              <w:rPr>
                <w:rFonts w:hint="eastAsia"/>
                <w:bCs/>
                <w:color w:val="auto"/>
                <w:szCs w:val="21"/>
                <w:highlight w:val="none"/>
              </w:rPr>
              <w:t>货物经过双方检验认可后，签署验收报告，产品保修期自验收合格之日起算，由</w:t>
            </w:r>
            <w:r>
              <w:rPr>
                <w:rFonts w:hint="eastAsia"/>
                <w:bCs/>
                <w:color w:val="auto"/>
                <w:szCs w:val="21"/>
                <w:highlight w:val="none"/>
                <w:lang w:eastAsia="zh-CN"/>
              </w:rPr>
              <w:t>中标人</w:t>
            </w:r>
            <w:r>
              <w:rPr>
                <w:rFonts w:hint="eastAsia"/>
                <w:bCs/>
                <w:color w:val="auto"/>
                <w:szCs w:val="21"/>
                <w:highlight w:val="none"/>
              </w:rPr>
              <w:t>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6" w:type="pct"/>
            <w:vMerge w:val="continue"/>
            <w:vAlign w:val="center"/>
          </w:tcPr>
          <w:p>
            <w:pPr>
              <w:jc w:val="center"/>
              <w:rPr>
                <w:b/>
                <w:color w:val="auto"/>
                <w:highlight w:val="none"/>
              </w:rPr>
            </w:pPr>
          </w:p>
        </w:tc>
        <w:tc>
          <w:tcPr>
            <w:tcW w:w="990" w:type="pct"/>
            <w:vMerge w:val="continue"/>
          </w:tcPr>
          <w:p>
            <w:pPr>
              <w:rPr>
                <w:b/>
                <w:color w:val="auto"/>
                <w:highlight w:val="none"/>
              </w:rPr>
            </w:pPr>
          </w:p>
        </w:tc>
        <w:tc>
          <w:tcPr>
            <w:tcW w:w="3362" w:type="pct"/>
          </w:tcPr>
          <w:p>
            <w:pPr>
              <w:spacing w:line="340" w:lineRule="exact"/>
              <w:rPr>
                <w:bCs/>
                <w:color w:val="auto"/>
                <w:szCs w:val="21"/>
                <w:highlight w:val="none"/>
              </w:rPr>
            </w:pPr>
            <w:r>
              <w:rPr>
                <w:rFonts w:hint="eastAsia"/>
                <w:bCs/>
                <w:color w:val="auto"/>
                <w:szCs w:val="21"/>
                <w:highlight w:val="none"/>
                <w:lang w:val="en-US" w:eastAsia="zh-CN"/>
              </w:rPr>
              <w:t>4、</w:t>
            </w:r>
            <w:r>
              <w:rPr>
                <w:rFonts w:hint="eastAsia"/>
                <w:bCs/>
                <w:color w:val="auto"/>
                <w:szCs w:val="21"/>
                <w:highlight w:val="none"/>
              </w:rPr>
              <w:t>当满足以下条件时，采购人才签货物验收报告：</w:t>
            </w:r>
          </w:p>
          <w:p>
            <w:pPr>
              <w:tabs>
                <w:tab w:val="left" w:pos="1260"/>
              </w:tabs>
              <w:spacing w:line="340" w:lineRule="exact"/>
              <w:rPr>
                <w:bCs/>
                <w:color w:val="auto"/>
                <w:szCs w:val="21"/>
                <w:highlight w:val="none"/>
              </w:rPr>
            </w:pPr>
            <w:r>
              <w:rPr>
                <w:bCs/>
                <w:color w:val="auto"/>
                <w:szCs w:val="21"/>
                <w:highlight w:val="none"/>
              </w:rPr>
              <w:t>a</w:t>
            </w:r>
            <w:r>
              <w:rPr>
                <w:rFonts w:hint="eastAsia"/>
                <w:bCs/>
                <w:color w:val="auto"/>
                <w:szCs w:val="21"/>
                <w:highlight w:val="none"/>
              </w:rPr>
              <w:t>、中标人已按照合同规定提供了全部产品及完整的技术资料。</w:t>
            </w:r>
          </w:p>
          <w:p>
            <w:pPr>
              <w:tabs>
                <w:tab w:val="left" w:pos="1260"/>
              </w:tabs>
              <w:spacing w:line="340" w:lineRule="exact"/>
              <w:rPr>
                <w:bCs/>
                <w:color w:val="auto"/>
                <w:szCs w:val="21"/>
                <w:highlight w:val="none"/>
              </w:rPr>
            </w:pPr>
            <w:r>
              <w:rPr>
                <w:bCs/>
                <w:color w:val="auto"/>
                <w:szCs w:val="21"/>
                <w:highlight w:val="none"/>
              </w:rPr>
              <w:t>b</w:t>
            </w:r>
            <w:r>
              <w:rPr>
                <w:rFonts w:hint="eastAsia"/>
                <w:bCs/>
                <w:color w:val="auto"/>
                <w:szCs w:val="21"/>
                <w:highlight w:val="none"/>
              </w:rPr>
              <w:t>、货物符合招标文件技术规格书的要求，性能满足要求。</w:t>
            </w:r>
          </w:p>
          <w:p>
            <w:pPr>
              <w:tabs>
                <w:tab w:val="left" w:pos="1260"/>
              </w:tabs>
              <w:spacing w:line="340" w:lineRule="exact"/>
              <w:rPr>
                <w:bCs/>
                <w:color w:val="auto"/>
                <w:szCs w:val="21"/>
                <w:highlight w:val="none"/>
              </w:rPr>
            </w:pPr>
            <w:r>
              <w:rPr>
                <w:bCs/>
                <w:color w:val="auto"/>
                <w:szCs w:val="21"/>
                <w:highlight w:val="none"/>
              </w:rPr>
              <w:t>c</w:t>
            </w:r>
            <w:r>
              <w:rPr>
                <w:rFonts w:hint="eastAsia"/>
                <w:bCs/>
                <w:color w:val="auto"/>
                <w:szCs w:val="21"/>
                <w:highlight w:val="none"/>
              </w:rPr>
              <w:t>、货物为国产产品，须提供产品合格证。</w:t>
            </w:r>
          </w:p>
          <w:p>
            <w:pPr>
              <w:tabs>
                <w:tab w:val="left" w:pos="1260"/>
              </w:tabs>
              <w:spacing w:line="340" w:lineRule="exact"/>
              <w:rPr>
                <w:bCs/>
                <w:color w:val="auto"/>
                <w:szCs w:val="21"/>
                <w:highlight w:val="none"/>
              </w:rPr>
            </w:pPr>
            <w:r>
              <w:rPr>
                <w:rFonts w:hint="eastAsia"/>
                <w:bCs/>
                <w:color w:val="auto"/>
                <w:szCs w:val="21"/>
                <w:highlight w:val="none"/>
              </w:rPr>
              <w:t>d、货物为进口产品，须提供相关报关资料。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46" w:type="pct"/>
            <w:vMerge w:val="continue"/>
            <w:vAlign w:val="center"/>
          </w:tcPr>
          <w:p>
            <w:pPr>
              <w:jc w:val="center"/>
              <w:rPr>
                <w:b/>
                <w:color w:val="auto"/>
                <w:highlight w:val="none"/>
              </w:rPr>
            </w:pPr>
          </w:p>
        </w:tc>
        <w:tc>
          <w:tcPr>
            <w:tcW w:w="990" w:type="pct"/>
            <w:vMerge w:val="continue"/>
          </w:tcPr>
          <w:p>
            <w:pPr>
              <w:rPr>
                <w:b/>
                <w:color w:val="auto"/>
                <w:highlight w:val="none"/>
              </w:rPr>
            </w:pPr>
          </w:p>
        </w:tc>
        <w:tc>
          <w:tcPr>
            <w:tcW w:w="3362" w:type="pct"/>
          </w:tcPr>
          <w:p>
            <w:pPr>
              <w:spacing w:line="340" w:lineRule="exact"/>
              <w:rPr>
                <w:bCs/>
                <w:color w:val="auto"/>
                <w:szCs w:val="21"/>
                <w:highlight w:val="none"/>
              </w:rPr>
            </w:pPr>
            <w:r>
              <w:rPr>
                <w:rFonts w:hint="eastAsia" w:ascii="Times New Roman" w:hAnsi="Times New Roman" w:cs="Times New Roman"/>
                <w:lang w:val="en-US" w:eastAsia="zh-CN"/>
              </w:rPr>
              <w:t>5、</w:t>
            </w:r>
            <w:r>
              <w:rPr>
                <w:rFonts w:hint="eastAsia" w:ascii="Times New Roman" w:hAnsi="Times New Roman" w:cs="Times New Roman"/>
              </w:rPr>
              <w:t>本项目要求提供由深圳市计量院出具的全性能检测报告，检测费用由中标方承担（深圳市计量院不能检测的设备除外）；属于国家规定的强检设备，还需提供计量检定证书。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646" w:type="pct"/>
            <w:vMerge w:val="continue"/>
            <w:vAlign w:val="center"/>
          </w:tcPr>
          <w:p>
            <w:pPr>
              <w:jc w:val="center"/>
              <w:rPr>
                <w:b/>
                <w:color w:val="auto"/>
                <w:highlight w:val="none"/>
              </w:rPr>
            </w:pPr>
          </w:p>
        </w:tc>
        <w:tc>
          <w:tcPr>
            <w:tcW w:w="990" w:type="pct"/>
            <w:vMerge w:val="restart"/>
            <w:vAlign w:val="center"/>
          </w:tcPr>
          <w:p>
            <w:pPr>
              <w:jc w:val="center"/>
              <w:rPr>
                <w:b/>
                <w:color w:val="auto"/>
                <w:highlight w:val="none"/>
              </w:rPr>
            </w:pPr>
            <w:r>
              <w:rPr>
                <w:rFonts w:hint="eastAsia"/>
                <w:color w:val="auto"/>
                <w:highlight w:val="none"/>
              </w:rPr>
              <w:t>付款方式</w:t>
            </w:r>
          </w:p>
        </w:tc>
        <w:tc>
          <w:tcPr>
            <w:tcW w:w="3362" w:type="pct"/>
          </w:tcPr>
          <w:p>
            <w:pPr>
              <w:rPr>
                <w:color w:val="auto"/>
                <w:highlight w:val="none"/>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设备安装调试完毕，经</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验收合格的，投标</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提供全额的发票，90天内支付合同总价的</w:t>
            </w:r>
            <w:r>
              <w:rPr>
                <w:rFonts w:hint="eastAsia" w:ascii="宋体" w:hAnsi="宋体" w:eastAsia="宋体" w:cs="宋体"/>
                <w:color w:val="auto"/>
                <w:sz w:val="21"/>
                <w:szCs w:val="21"/>
                <w:lang w:val="en-US" w:eastAsia="zh-CN"/>
              </w:rPr>
              <w:t>95%</w:t>
            </w:r>
            <w:r>
              <w:rPr>
                <w:rFonts w:hint="eastAsia" w:ascii="宋体" w:hAnsi="宋体" w:eastAsia="宋体" w:cs="宋体"/>
                <w:color w:val="auto"/>
                <w:sz w:val="21"/>
                <w:szCs w:val="21"/>
              </w:rPr>
              <w:t>货款，保修期满后，由投标</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提出申请，</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在一个月内无息付清5%</w:t>
            </w:r>
            <w:r>
              <w:rPr>
                <w:rFonts w:hint="eastAsia" w:ascii="宋体" w:hAnsi="宋体" w:eastAsia="宋体" w:cs="宋体"/>
                <w:color w:val="auto"/>
                <w:sz w:val="21"/>
                <w:szCs w:val="21"/>
                <w:lang w:eastAsia="zh-CN"/>
              </w:rPr>
              <w:t>余款</w:t>
            </w:r>
            <w:r>
              <w:rPr>
                <w:rFonts w:hint="eastAsia" w:ascii="宋体" w:hAnsi="宋体" w:eastAsia="宋体" w:cs="宋体"/>
                <w:color w:val="auto"/>
                <w:sz w:val="21"/>
                <w:szCs w:val="21"/>
              </w:rPr>
              <w:t>。保修期内，如投标</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未按照本合同的约定提供售后服务或履行义务的行为不符合本合同约定的，则</w:t>
            </w:r>
            <w:r>
              <w:rPr>
                <w:rFonts w:hint="eastAsia" w:ascii="宋体" w:hAnsi="宋体" w:eastAsia="宋体" w:cs="宋体"/>
                <w:color w:val="auto"/>
                <w:sz w:val="21"/>
                <w:szCs w:val="21"/>
                <w:lang w:eastAsia="zh-CN"/>
              </w:rPr>
              <w:t>余款采购人</w:t>
            </w:r>
            <w:r>
              <w:rPr>
                <w:rFonts w:hint="eastAsia" w:ascii="宋体" w:hAnsi="宋体" w:eastAsia="宋体" w:cs="宋体"/>
                <w:color w:val="auto"/>
                <w:sz w:val="21"/>
                <w:szCs w:val="21"/>
              </w:rPr>
              <w:t>有权不予以支付。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646" w:type="pct"/>
            <w:vMerge w:val="continue"/>
            <w:vAlign w:val="center"/>
          </w:tcPr>
          <w:p>
            <w:pPr>
              <w:jc w:val="center"/>
              <w:rPr>
                <w:color w:val="auto"/>
                <w:highlight w:val="none"/>
              </w:rPr>
            </w:pPr>
          </w:p>
        </w:tc>
        <w:tc>
          <w:tcPr>
            <w:tcW w:w="990" w:type="pct"/>
            <w:vMerge w:val="continue"/>
          </w:tcPr>
          <w:p>
            <w:pPr>
              <w:rPr>
                <w:b/>
                <w:color w:val="auto"/>
                <w:highlight w:val="none"/>
              </w:rPr>
            </w:pPr>
          </w:p>
        </w:tc>
        <w:tc>
          <w:tcPr>
            <w:tcW w:w="3362" w:type="pct"/>
          </w:tcPr>
          <w:p>
            <w:pPr>
              <w:rPr>
                <w:b/>
                <w:color w:val="auto"/>
                <w:highlight w:val="none"/>
              </w:rPr>
            </w:pPr>
            <w:r>
              <w:rPr>
                <w:rFonts w:hint="eastAsia"/>
                <w:color w:val="auto"/>
                <w:highlight w:val="none"/>
                <w:lang w:val="en-US" w:eastAsia="zh-CN"/>
              </w:rPr>
              <w:t>7、</w:t>
            </w:r>
            <w:r>
              <w:rPr>
                <w:rFonts w:hint="eastAsia"/>
                <w:color w:val="auto"/>
                <w:highlight w:val="none"/>
                <w:lang w:eastAsia="zh-CN"/>
              </w:rPr>
              <w:t>中标人</w:t>
            </w:r>
            <w:r>
              <w:rPr>
                <w:rFonts w:hint="eastAsia"/>
                <w:color w:val="auto"/>
                <w:highlight w:val="none"/>
              </w:rPr>
              <w:t>逾期交付设备的，每逾期一天，应向</w:t>
            </w:r>
            <w:r>
              <w:rPr>
                <w:rFonts w:hint="eastAsia"/>
                <w:color w:val="auto"/>
                <w:highlight w:val="none"/>
                <w:lang w:eastAsia="zh-CN"/>
              </w:rPr>
              <w:t>采购人</w:t>
            </w:r>
            <w:r>
              <w:rPr>
                <w:rFonts w:hint="eastAsia"/>
                <w:color w:val="auto"/>
                <w:highlight w:val="none"/>
              </w:rPr>
              <w:t>支付合同总价0.5%的违约金。</w:t>
            </w:r>
            <w:r>
              <w:rPr>
                <w:rFonts w:hint="eastAsia"/>
                <w:color w:val="auto"/>
                <w:highlight w:val="none"/>
                <w:lang w:eastAsia="zh-CN"/>
              </w:rPr>
              <w:t>中标人</w:t>
            </w:r>
            <w:r>
              <w:rPr>
                <w:rFonts w:hint="eastAsia"/>
                <w:color w:val="auto"/>
                <w:highlight w:val="none"/>
              </w:rPr>
              <w:t>逾期交货达10个自然日仍未完成交货义务的，视为</w:t>
            </w:r>
            <w:r>
              <w:rPr>
                <w:rFonts w:hint="eastAsia"/>
                <w:color w:val="auto"/>
                <w:highlight w:val="none"/>
                <w:lang w:eastAsia="zh-CN"/>
              </w:rPr>
              <w:t>中标人</w:t>
            </w:r>
            <w:r>
              <w:rPr>
                <w:rFonts w:hint="eastAsia"/>
                <w:color w:val="auto"/>
                <w:highlight w:val="none"/>
              </w:rPr>
              <w:t>不能交货，</w:t>
            </w:r>
            <w:r>
              <w:rPr>
                <w:rFonts w:hint="eastAsia"/>
                <w:color w:val="auto"/>
                <w:highlight w:val="none"/>
                <w:lang w:eastAsia="zh-CN"/>
              </w:rPr>
              <w:t>采购人</w:t>
            </w:r>
            <w:r>
              <w:rPr>
                <w:rFonts w:hint="eastAsia"/>
                <w:color w:val="auto"/>
                <w:highlight w:val="none"/>
              </w:rPr>
              <w:t>有权解除合同，并有权要求</w:t>
            </w:r>
            <w:r>
              <w:rPr>
                <w:rFonts w:hint="eastAsia"/>
                <w:color w:val="auto"/>
                <w:highlight w:val="none"/>
                <w:lang w:eastAsia="zh-CN"/>
              </w:rPr>
              <w:t>中标人</w:t>
            </w:r>
            <w:r>
              <w:rPr>
                <w:rFonts w:hint="eastAsia"/>
                <w:color w:val="auto"/>
                <w:highlight w:val="none"/>
              </w:rPr>
              <w:t>支付合同总价30%的违约金。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646" w:type="pct"/>
            <w:vMerge w:val="continue"/>
            <w:vAlign w:val="center"/>
          </w:tcPr>
          <w:p>
            <w:pPr>
              <w:jc w:val="center"/>
              <w:rPr>
                <w:color w:val="auto"/>
                <w:highlight w:val="none"/>
              </w:rPr>
            </w:pPr>
          </w:p>
        </w:tc>
        <w:tc>
          <w:tcPr>
            <w:tcW w:w="990" w:type="pct"/>
            <w:vMerge w:val="continue"/>
          </w:tcPr>
          <w:p>
            <w:pPr>
              <w:rPr>
                <w:b/>
                <w:color w:val="auto"/>
                <w:highlight w:val="none"/>
              </w:rPr>
            </w:pPr>
          </w:p>
        </w:tc>
        <w:tc>
          <w:tcPr>
            <w:tcW w:w="3362" w:type="pct"/>
          </w:tcPr>
          <w:p>
            <w:pPr>
              <w:rPr>
                <w:b/>
                <w:color w:val="auto"/>
                <w:highlight w:val="none"/>
              </w:rPr>
            </w:pPr>
            <w:r>
              <w:rPr>
                <w:rFonts w:hint="eastAsia"/>
                <w:color w:val="auto"/>
                <w:highlight w:val="none"/>
                <w:lang w:val="en-US" w:eastAsia="zh-CN"/>
              </w:rPr>
              <w:t>8、</w:t>
            </w:r>
            <w:r>
              <w:rPr>
                <w:rFonts w:hint="eastAsia"/>
                <w:color w:val="auto"/>
                <w:highlight w:val="none"/>
              </w:rPr>
              <w:t>由于</w:t>
            </w:r>
            <w:r>
              <w:rPr>
                <w:rFonts w:hint="eastAsia"/>
                <w:color w:val="auto"/>
                <w:highlight w:val="none"/>
                <w:lang w:eastAsia="zh-CN"/>
              </w:rPr>
              <w:t>中标人</w:t>
            </w:r>
            <w:r>
              <w:rPr>
                <w:rFonts w:hint="eastAsia"/>
                <w:color w:val="auto"/>
                <w:highlight w:val="none"/>
              </w:rPr>
              <w:t>的原因，在货到10日历天内未进行安装调试，或安装调试时间超过正常要求，按每超过一天罚款合同总额的0.5%或按实际损失罚款。情节严重者，将依法律程序对</w:t>
            </w:r>
            <w:r>
              <w:rPr>
                <w:rFonts w:hint="eastAsia"/>
                <w:color w:val="auto"/>
                <w:highlight w:val="none"/>
                <w:lang w:eastAsia="zh-CN"/>
              </w:rPr>
              <w:t>中标人</w:t>
            </w:r>
            <w:r>
              <w:rPr>
                <w:rFonts w:hint="eastAsia"/>
                <w:color w:val="auto"/>
                <w:highlight w:val="none"/>
              </w:rPr>
              <w:t>进行索赔</w:t>
            </w:r>
          </w:p>
        </w:tc>
      </w:tr>
    </w:tbl>
    <w:p>
      <w:pPr>
        <w:tabs>
          <w:tab w:val="left" w:pos="1260"/>
        </w:tabs>
        <w:spacing w:line="400" w:lineRule="exact"/>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rPr>
          <w:bCs/>
          <w:szCs w:val="21"/>
        </w:rPr>
      </w:pPr>
    </w:p>
    <w:p>
      <w:pPr>
        <w:pStyle w:val="21"/>
        <w:keepNext w:val="0"/>
        <w:keepLines w:val="0"/>
        <w:pageBreakBefore w:val="0"/>
        <w:widowControl w:val="0"/>
        <w:numPr>
          <w:ilvl w:val="0"/>
          <w:numId w:val="2"/>
        </w:numPr>
        <w:tabs>
          <w:tab w:val="left" w:pos="562"/>
          <w:tab w:val="left" w:pos="3372"/>
          <w:tab w:val="left" w:pos="3653"/>
        </w:tabs>
        <w:kinsoku/>
        <w:wordWrap/>
        <w:overflowPunct/>
        <w:topLinePunct w:val="0"/>
        <w:autoSpaceDE/>
        <w:autoSpaceDN/>
        <w:bidi w:val="0"/>
        <w:adjustRightInd w:val="0"/>
        <w:snapToGrid w:val="0"/>
        <w:spacing w:line="460" w:lineRule="atLeast"/>
        <w:textAlignment w:val="auto"/>
        <w:rPr>
          <w:rFonts w:hint="eastAsia" w:ascii="宋体" w:hAnsi="宋体" w:eastAsia="宋体" w:cs="Times New Roman"/>
          <w:b/>
          <w:bCs w:val="0"/>
          <w:kern w:val="2"/>
          <w:sz w:val="24"/>
          <w:szCs w:val="24"/>
          <w:lang w:val="en-US" w:eastAsia="zh-CN" w:bidi="ar-SA"/>
        </w:rPr>
      </w:pPr>
      <w:bookmarkStart w:id="0" w:name="_Toc18222"/>
      <w:r>
        <w:rPr>
          <w:rFonts w:hint="eastAsia" w:ascii="宋体" w:hAnsi="宋体" w:eastAsia="宋体" w:cs="Times New Roman"/>
          <w:b/>
          <w:bCs w:val="0"/>
          <w:kern w:val="2"/>
          <w:sz w:val="24"/>
          <w:szCs w:val="24"/>
          <w:lang w:val="en-US" w:eastAsia="zh-CN" w:bidi="ar-SA"/>
        </w:rPr>
        <w:t>综合评分表</w:t>
      </w:r>
      <w:bookmarkEnd w:id="0"/>
    </w:p>
    <w:p>
      <w:pPr>
        <w:numPr>
          <w:ilvl w:val="0"/>
          <w:numId w:val="0"/>
        </w:numPr>
        <w:rPr>
          <w:rFonts w:hint="eastAsia"/>
          <w:lang w:val="en-US" w:eastAsia="zh-CN"/>
        </w:rPr>
      </w:pPr>
    </w:p>
    <w:tbl>
      <w:tblPr>
        <w:tblStyle w:val="54"/>
        <w:tblW w:w="93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9"/>
        <w:gridCol w:w="1355"/>
        <w:gridCol w:w="5580"/>
        <w:gridCol w:w="837"/>
        <w:gridCol w:w="7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评审部分</w:t>
            </w:r>
          </w:p>
        </w:tc>
        <w:tc>
          <w:tcPr>
            <w:tcW w:w="1355"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评分细则</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权重</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一</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技术部分（</w:t>
            </w:r>
            <w:r>
              <w:rPr>
                <w:rFonts w:hint="eastAsia" w:ascii="宋体" w:hAnsi="宋体"/>
                <w:b/>
                <w:color w:val="auto"/>
                <w:szCs w:val="21"/>
                <w:highlight w:val="none"/>
                <w:lang w:val="en-US" w:eastAsia="zh-CN"/>
              </w:rPr>
              <w:t>40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4" w:space="0"/>
              <w:right w:val="single" w:color="auto" w:sz="8" w:space="0"/>
            </w:tcBorders>
            <w:vAlign w:val="center"/>
          </w:tcPr>
          <w:p>
            <w:pPr>
              <w:pStyle w:val="295"/>
              <w:numPr>
                <w:ilvl w:val="0"/>
                <w:numId w:val="3"/>
              </w:numPr>
              <w:spacing w:line="360" w:lineRule="auto"/>
              <w:ind w:firstLineChars="0"/>
              <w:jc w:val="right"/>
              <w:rPr>
                <w:rFonts w:ascii="宋体" w:hAnsi="宋体"/>
                <w:color w:val="auto"/>
                <w:szCs w:val="21"/>
                <w:highlight w:val="none"/>
              </w:rPr>
            </w:pP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技术规格偏离情况</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left"/>
              <w:rPr>
                <w:rFonts w:hint="default" w:eastAsia="宋体"/>
                <w:color w:val="auto"/>
                <w:highlight w:val="none"/>
                <w:lang w:val="en-US" w:eastAsia="zh-CN"/>
              </w:rPr>
            </w:pPr>
            <w:r>
              <w:rPr>
                <w:rFonts w:hint="eastAsia"/>
                <w:color w:val="auto"/>
                <w:highlight w:val="none"/>
              </w:rPr>
              <w:t>投标人应如实填写《用户需求书条款响应一览表》的技术条款，评审委员会根据技术需求参数响应情况进行打分，各项技术参数指标及要求全部满足或优于的得</w:t>
            </w:r>
            <w:r>
              <w:rPr>
                <w:rFonts w:hint="eastAsia"/>
                <w:color w:val="auto"/>
                <w:highlight w:val="none"/>
                <w:lang w:val="en-US" w:eastAsia="zh-CN"/>
              </w:rPr>
              <w:t>40</w:t>
            </w:r>
            <w:r>
              <w:rPr>
                <w:rFonts w:hint="eastAsia"/>
                <w:color w:val="auto"/>
                <w:highlight w:val="none"/>
              </w:rPr>
              <w:t>分，</w:t>
            </w:r>
            <w:r>
              <w:rPr>
                <w:rFonts w:hint="eastAsia"/>
                <w:color w:val="auto"/>
                <w:highlight w:val="none"/>
                <w:lang w:eastAsia="zh-CN"/>
              </w:rPr>
              <w:t>“</w:t>
            </w:r>
            <w:r>
              <w:rPr>
                <w:rFonts w:hint="eastAsia"/>
                <w:color w:val="auto"/>
                <w:highlight w:val="none"/>
              </w:rPr>
              <w:t>▲</w:t>
            </w:r>
            <w:r>
              <w:rPr>
                <w:rFonts w:hint="eastAsia"/>
                <w:color w:val="auto"/>
                <w:highlight w:val="none"/>
                <w:lang w:eastAsia="zh-CN"/>
              </w:rPr>
              <w:t>”号</w:t>
            </w:r>
            <w:r>
              <w:rPr>
                <w:rFonts w:hint="eastAsia"/>
                <w:color w:val="auto"/>
                <w:highlight w:val="none"/>
              </w:rPr>
              <w:t>参数每负偏离一项扣</w:t>
            </w:r>
            <w:r>
              <w:rPr>
                <w:rFonts w:hint="eastAsia"/>
                <w:color w:val="auto"/>
                <w:highlight w:val="none"/>
                <w:lang w:val="en-US" w:eastAsia="zh-CN"/>
              </w:rPr>
              <w:t>6</w:t>
            </w:r>
            <w:r>
              <w:rPr>
                <w:rFonts w:hint="eastAsia"/>
                <w:color w:val="auto"/>
                <w:highlight w:val="none"/>
              </w:rPr>
              <w:t>分，其余一般参数每负偏离一项扣</w:t>
            </w:r>
            <w:r>
              <w:rPr>
                <w:rFonts w:hint="eastAsia"/>
                <w:color w:val="auto"/>
                <w:highlight w:val="none"/>
                <w:lang w:val="en-US" w:eastAsia="zh-CN"/>
              </w:rPr>
              <w:t>3</w:t>
            </w:r>
            <w:r>
              <w:rPr>
                <w:rFonts w:hint="eastAsia"/>
                <w:color w:val="auto"/>
                <w:highlight w:val="none"/>
              </w:rPr>
              <w:t>分，</w:t>
            </w:r>
            <w:r>
              <w:rPr>
                <w:rFonts w:hint="eastAsia"/>
                <w:color w:val="auto"/>
                <w:highlight w:val="none"/>
                <w:lang w:val="en-US" w:eastAsia="zh-CN"/>
              </w:rPr>
              <w:t>扣完为止。</w:t>
            </w:r>
          </w:p>
          <w:p>
            <w:pPr>
              <w:pStyle w:val="29"/>
              <w:rPr>
                <w:color w:val="auto"/>
                <w:highlight w:val="none"/>
              </w:rPr>
            </w:pPr>
            <w:r>
              <w:rPr>
                <w:rFonts w:hint="eastAsia"/>
                <w:color w:val="auto"/>
                <w:highlight w:val="none"/>
              </w:rPr>
              <w:t>注：投标人须按《用户需求书条款响应一览表》中的要求提供相关证明资料，证明资料未提供，或提供的证明资料不清或无法判断的，不得分。</w:t>
            </w:r>
          </w:p>
        </w:tc>
        <w:tc>
          <w:tcPr>
            <w:tcW w:w="837" w:type="dxa"/>
            <w:tcBorders>
              <w:top w:val="single" w:color="auto" w:sz="8" w:space="0"/>
              <w:left w:val="single" w:color="auto" w:sz="8" w:space="0"/>
              <w:bottom w:val="single" w:color="auto" w:sz="8" w:space="0"/>
              <w:right w:val="single" w:color="auto" w:sz="4"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w:t>
            </w:r>
          </w:p>
        </w:tc>
        <w:tc>
          <w:tcPr>
            <w:tcW w:w="775" w:type="dxa"/>
            <w:tcBorders>
              <w:top w:val="single" w:color="auto" w:sz="8" w:space="0"/>
              <w:left w:val="single" w:color="auto" w:sz="4"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kern w:val="0"/>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二</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商务部分</w:t>
            </w:r>
            <w:r>
              <w:rPr>
                <w:rFonts w:hint="eastAsia" w:ascii="宋体" w:hAnsi="宋体"/>
                <w:b/>
                <w:color w:val="auto"/>
                <w:szCs w:val="21"/>
                <w:highlight w:val="none"/>
              </w:rPr>
              <w:t>（</w:t>
            </w:r>
            <w:r>
              <w:rPr>
                <w:rFonts w:hint="eastAsia" w:ascii="宋体" w:hAnsi="宋体"/>
                <w:b/>
                <w:color w:val="auto"/>
                <w:szCs w:val="21"/>
                <w:highlight w:val="none"/>
                <w:lang w:val="en-US" w:eastAsia="zh-CN"/>
              </w:rPr>
              <w:t>30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1</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免费保修期内售后服务条款偏离情况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（一）免费保修期内售后服务要求</w:t>
            </w:r>
            <w:r>
              <w:rPr>
                <w:szCs w:val="21"/>
              </w:rPr>
              <w:t>》，评审委员会根据响应情况进行打分，全部满足要求的得</w:t>
            </w:r>
            <w:r>
              <w:rPr>
                <w:rFonts w:hint="eastAsia"/>
                <w:szCs w:val="21"/>
                <w:lang w:val="en-US" w:eastAsia="zh-CN"/>
              </w:rPr>
              <w:t>14</w:t>
            </w:r>
            <w:r>
              <w:rPr>
                <w:szCs w:val="21"/>
              </w:rPr>
              <w:t>分，每负偏离一项扣</w:t>
            </w:r>
            <w:r>
              <w:rPr>
                <w:rFonts w:hint="eastAsia"/>
                <w:szCs w:val="21"/>
                <w:lang w:val="en-US" w:eastAsia="zh-CN"/>
              </w:rPr>
              <w:t>2</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14%</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2</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免费保修期外售后服务条款偏离情况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（二）免费保修期外售后服务要求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2</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7"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3</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其他商务条款偏离情况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（三）其他商务要求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1</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三</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价格部分（30分）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2"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投标报价</w:t>
            </w:r>
          </w:p>
        </w:tc>
        <w:tc>
          <w:tcPr>
            <w:tcW w:w="55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价格分应当采用低价优先法计算，即满足招标文件要求且投标价格最低的投标报价为评标基准价，其价格分为满分。其他投标人的价格分统一按照下列公式计算：</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投标报价得分=(评标基准价／投标报价)×100×权重</w:t>
            </w:r>
          </w:p>
          <w:p>
            <w:pPr>
              <w:widowControl/>
              <w:jc w:val="left"/>
              <w:rPr>
                <w:rFonts w:ascii="宋体" w:hAnsi="宋体"/>
                <w:bCs/>
                <w:color w:val="auto"/>
                <w:szCs w:val="21"/>
                <w:highlight w:val="none"/>
              </w:rPr>
            </w:pPr>
            <w:r>
              <w:rPr>
                <w:rFonts w:hint="eastAsia" w:ascii="宋体" w:hAnsi="宋体"/>
                <w:bCs/>
                <w:color w:val="auto"/>
                <w:szCs w:val="21"/>
                <w:highlight w:val="none"/>
              </w:rPr>
              <w:t>备注：1、投标报价得分四舍五入后，小数点后保留两位有效数。</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rPr>
              <w:t xml:space="preserve">30% </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olor w:val="auto"/>
                <w:szCs w:val="21"/>
                <w:highlight w:val="none"/>
              </w:rPr>
              <w:t>30分</w:t>
            </w:r>
          </w:p>
        </w:tc>
      </w:tr>
    </w:tbl>
    <w:p>
      <w:pPr>
        <w:tabs>
          <w:tab w:val="left" w:pos="1260"/>
        </w:tabs>
        <w:spacing w:line="400" w:lineRule="exact"/>
        <w:rPr>
          <w:bCs/>
          <w:szCs w:val="21"/>
        </w:rPr>
      </w:pPr>
    </w:p>
    <w:p>
      <w:pPr>
        <w:tabs>
          <w:tab w:val="left" w:pos="1260"/>
        </w:tabs>
        <w:spacing w:line="400" w:lineRule="exact"/>
        <w:rPr>
          <w:bCs/>
          <w:szCs w:val="21"/>
        </w:rPr>
      </w:pPr>
    </w:p>
    <w:p>
      <w:pPr>
        <w:tabs>
          <w:tab w:val="left" w:pos="1260"/>
        </w:tabs>
        <w:spacing w:line="400" w:lineRule="exact"/>
        <w:rPr>
          <w:bCs/>
          <w:szCs w:val="21"/>
        </w:rPr>
      </w:pPr>
    </w:p>
    <w:p>
      <w:pPr>
        <w:tabs>
          <w:tab w:val="left" w:pos="1260"/>
        </w:tabs>
        <w:spacing w:line="400" w:lineRule="exact"/>
        <w:rPr>
          <w:bCs/>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wis721 LtCn BT">
    <w:altName w:val="Segoe Print"/>
    <w:panose1 w:val="020B0406020202030204"/>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1"/>
    </w:sdtPr>
    <w:sdtContent>
      <w:p>
        <w:pPr>
          <w:pStyle w:val="34"/>
          <w:jc w:val="right"/>
        </w:pPr>
        <w:r>
          <w:fldChar w:fldCharType="begin"/>
        </w:r>
        <w:r>
          <w:instrText xml:space="preserve"> PAGE   \* MERGEFORMAT </w:instrText>
        </w:r>
        <w:r>
          <w:fldChar w:fldCharType="separate"/>
        </w:r>
        <w:r>
          <w:rPr>
            <w:lang w:val="zh-CN"/>
          </w:rPr>
          <w:t>5</w:t>
        </w:r>
        <w:r>
          <w:rPr>
            <w:lang w:val="zh-CN"/>
          </w:rPr>
          <w:fldChar w:fldCharType="end"/>
        </w:r>
      </w:p>
    </w:sdtContent>
  </w:sdt>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2"/>
    </w:sdtPr>
    <w:sdtContent>
      <w:p>
        <w:pPr>
          <w:pStyle w:val="34"/>
        </w:pPr>
        <w:r>
          <w:fldChar w:fldCharType="begin"/>
        </w:r>
        <w:r>
          <w:instrText xml:space="preserve"> PAGE   \* MERGEFORMAT </w:instrText>
        </w:r>
        <w:r>
          <w:fldChar w:fldCharType="separate"/>
        </w:r>
        <w:r>
          <w:rPr>
            <w:lang w:val="zh-CN"/>
          </w:rPr>
          <w:t>4</w:t>
        </w:r>
        <w:r>
          <w:rPr>
            <w:lang w:val="zh-CN"/>
          </w:rPr>
          <w:fldChar w:fldCharType="end"/>
        </w:r>
      </w:p>
    </w:sdtContent>
  </w:sdt>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66C7D"/>
    <w:multiLevelType w:val="singleLevel"/>
    <w:tmpl w:val="99A66C7D"/>
    <w:lvl w:ilvl="0" w:tentative="0">
      <w:start w:val="1"/>
      <w:numFmt w:val="decimal"/>
      <w:suff w:val="nothing"/>
      <w:lvlText w:val="%1、"/>
      <w:lvlJc w:val="left"/>
    </w:lvl>
  </w:abstractNum>
  <w:abstractNum w:abstractNumId="1">
    <w:nsid w:val="E32F8E75"/>
    <w:multiLevelType w:val="singleLevel"/>
    <w:tmpl w:val="E32F8E75"/>
    <w:lvl w:ilvl="0" w:tentative="0">
      <w:start w:val="7"/>
      <w:numFmt w:val="chineseCounting"/>
      <w:suff w:val="nothing"/>
      <w:lvlText w:val="%1．"/>
      <w:lvlJc w:val="left"/>
      <w:rPr>
        <w:rFonts w:hint="eastAsia"/>
      </w:r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ZGNlMDZlYTM0NjY4NjJlYTg3Y2RlYjg4NzI4OTIifQ=="/>
  </w:docVars>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0959"/>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83"/>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2F46"/>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B652A"/>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3964"/>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5CAC"/>
    <w:rsid w:val="00696B10"/>
    <w:rsid w:val="006A2CE1"/>
    <w:rsid w:val="006A3EE1"/>
    <w:rsid w:val="006A4D27"/>
    <w:rsid w:val="006A5DFD"/>
    <w:rsid w:val="006B1B04"/>
    <w:rsid w:val="006B1C87"/>
    <w:rsid w:val="006B1E8E"/>
    <w:rsid w:val="006B1F90"/>
    <w:rsid w:val="006B2551"/>
    <w:rsid w:val="006B2E90"/>
    <w:rsid w:val="006B40F0"/>
    <w:rsid w:val="006B4FAB"/>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83E"/>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139"/>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1F4"/>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29B5"/>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179"/>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4F58"/>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3AF"/>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2A31"/>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9FE"/>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843"/>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C5265A6"/>
    <w:rsid w:val="0FB06823"/>
    <w:rsid w:val="13AB1E25"/>
    <w:rsid w:val="13BE4524"/>
    <w:rsid w:val="149A5357"/>
    <w:rsid w:val="1A180936"/>
    <w:rsid w:val="1A4A1D01"/>
    <w:rsid w:val="1A807061"/>
    <w:rsid w:val="1B8320CC"/>
    <w:rsid w:val="1D2B2FE6"/>
    <w:rsid w:val="20C13A8E"/>
    <w:rsid w:val="21A73358"/>
    <w:rsid w:val="2F67542B"/>
    <w:rsid w:val="36737028"/>
    <w:rsid w:val="3ACD1190"/>
    <w:rsid w:val="3BEB050A"/>
    <w:rsid w:val="3E431807"/>
    <w:rsid w:val="3FC2698C"/>
    <w:rsid w:val="451C4A0D"/>
    <w:rsid w:val="452308D7"/>
    <w:rsid w:val="4DB12A70"/>
    <w:rsid w:val="4E7C753F"/>
    <w:rsid w:val="505134AB"/>
    <w:rsid w:val="51EA72D5"/>
    <w:rsid w:val="52B9434F"/>
    <w:rsid w:val="53A66D45"/>
    <w:rsid w:val="57E55E07"/>
    <w:rsid w:val="598E0A22"/>
    <w:rsid w:val="5D6B104C"/>
    <w:rsid w:val="5EB631EE"/>
    <w:rsid w:val="5EBA1DB1"/>
    <w:rsid w:val="6010702F"/>
    <w:rsid w:val="61202D75"/>
    <w:rsid w:val="631753EB"/>
    <w:rsid w:val="63971839"/>
    <w:rsid w:val="6405305E"/>
    <w:rsid w:val="65147B6C"/>
    <w:rsid w:val="671452AB"/>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6">
    <w:name w:val="heading 2"/>
    <w:basedOn w:val="4"/>
    <w:next w:val="5"/>
    <w:link w:val="118"/>
    <w:qFormat/>
    <w:uiPriority w:val="9"/>
    <w:pPr>
      <w:adjustRightInd w:val="0"/>
      <w:jc w:val="center"/>
      <w:textAlignment w:val="baseline"/>
      <w:outlineLvl w:val="1"/>
    </w:pPr>
    <w:rPr>
      <w:kern w:val="0"/>
      <w:sz w:val="24"/>
      <w:szCs w:val="20"/>
    </w:rPr>
  </w:style>
  <w:style w:type="paragraph" w:styleId="4">
    <w:name w:val="heading 3"/>
    <w:basedOn w:val="5"/>
    <w:next w:val="1"/>
    <w:link w:val="86"/>
    <w:qFormat/>
    <w:uiPriority w:val="0"/>
    <w:pPr>
      <w:spacing w:before="260" w:after="260" w:line="240" w:lineRule="auto"/>
      <w:outlineLvl w:val="2"/>
    </w:pPr>
    <w:rPr>
      <w:rFonts w:ascii="宋体" w:hAnsi="宋体" w:eastAsia="宋体"/>
      <w:szCs w:val="32"/>
    </w:rPr>
  </w:style>
  <w:style w:type="paragraph" w:styleId="5">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6"/>
    <w:link w:val="126"/>
    <w:qFormat/>
    <w:uiPriority w:val="0"/>
    <w:pPr>
      <w:keepNext/>
      <w:keepLines/>
      <w:spacing w:before="280" w:after="290" w:line="376" w:lineRule="auto"/>
      <w:jc w:val="center"/>
      <w:outlineLvl w:val="4"/>
    </w:pPr>
    <w:rPr>
      <w:b/>
      <w:sz w:val="28"/>
      <w:szCs w:val="20"/>
    </w:rPr>
  </w:style>
  <w:style w:type="paragraph" w:styleId="8">
    <w:name w:val="heading 6"/>
    <w:basedOn w:val="1"/>
    <w:next w:val="2"/>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2"/>
    <w:link w:val="128"/>
    <w:qFormat/>
    <w:uiPriority w:val="0"/>
    <w:pPr>
      <w:keepNext/>
      <w:keepLines/>
      <w:spacing w:before="240" w:after="64" w:line="320" w:lineRule="auto"/>
      <w:outlineLvl w:val="6"/>
    </w:pPr>
    <w:rPr>
      <w:b/>
      <w:sz w:val="24"/>
      <w:szCs w:val="20"/>
    </w:rPr>
  </w:style>
  <w:style w:type="paragraph" w:styleId="10">
    <w:name w:val="heading 8"/>
    <w:basedOn w:val="1"/>
    <w:next w:val="2"/>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2"/>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5"/>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semiHidden/>
    <w:qFormat/>
    <w:uiPriority w:val="0"/>
    <w:pPr>
      <w:shd w:val="clear" w:color="auto" w:fill="000080"/>
    </w:pPr>
  </w:style>
  <w:style w:type="paragraph" w:styleId="17">
    <w:name w:val="toa heading"/>
    <w:basedOn w:val="1"/>
    <w:next w:val="1"/>
    <w:semiHidden/>
    <w:qFormat/>
    <w:uiPriority w:val="0"/>
    <w:pPr>
      <w:spacing w:before="120"/>
    </w:pPr>
    <w:rPr>
      <w:rFonts w:ascii="Arial" w:hAnsi="Arial" w:cs="Arial"/>
      <w:sz w:val="24"/>
    </w:rPr>
  </w:style>
  <w:style w:type="paragraph" w:styleId="18">
    <w:name w:val="annotation text"/>
    <w:basedOn w:val="1"/>
    <w:link w:val="119"/>
    <w:semiHidden/>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next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semiHidden/>
    <w:qFormat/>
    <w:uiPriority w:val="0"/>
    <w:pPr>
      <w:ind w:left="840"/>
      <w:jc w:val="left"/>
    </w:pPr>
    <w:rPr>
      <w:szCs w:val="21"/>
    </w:rPr>
  </w:style>
  <w:style w:type="paragraph" w:styleId="28">
    <w:name w:val="toc 3"/>
    <w:basedOn w:val="1"/>
    <w:next w:val="1"/>
    <w:semiHidden/>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semiHidden/>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unhideWhenUsed/>
    <w:qFormat/>
    <w:uiPriority w:val="0"/>
    <w:pPr>
      <w:tabs>
        <w:tab w:val="center" w:pos="4153"/>
        <w:tab w:val="right" w:pos="8306"/>
      </w:tabs>
      <w:snapToGrid w:val="0"/>
      <w:jc w:val="left"/>
    </w:pPr>
    <w:rPr>
      <w:sz w:val="18"/>
      <w:szCs w:val="18"/>
    </w:rPr>
  </w:style>
  <w:style w:type="paragraph" w:styleId="35">
    <w:name w:val="header"/>
    <w:basedOn w:val="1"/>
    <w:link w:val="90"/>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semiHidden/>
    <w:qFormat/>
    <w:uiPriority w:val="0"/>
    <w:pPr>
      <w:spacing w:before="120" w:after="120"/>
      <w:jc w:val="left"/>
    </w:pPr>
    <w:rPr>
      <w:b/>
      <w:bCs/>
      <w:caps/>
    </w:rPr>
  </w:style>
  <w:style w:type="paragraph" w:styleId="37">
    <w:name w:val="toc 4"/>
    <w:basedOn w:val="1"/>
    <w:next w:val="1"/>
    <w:semiHidden/>
    <w:qFormat/>
    <w:uiPriority w:val="0"/>
    <w:pPr>
      <w:ind w:left="630"/>
      <w:jc w:val="left"/>
    </w:pPr>
    <w:rPr>
      <w:szCs w:val="21"/>
    </w:rPr>
  </w:style>
  <w:style w:type="paragraph" w:styleId="38">
    <w:name w:val="index heading"/>
    <w:basedOn w:val="1"/>
    <w:next w:val="39"/>
    <w:semiHidden/>
    <w:qFormat/>
    <w:uiPriority w:val="0"/>
    <w:rPr>
      <w:szCs w:val="20"/>
    </w:rPr>
  </w:style>
  <w:style w:type="paragraph" w:styleId="39">
    <w:name w:val="index 1"/>
    <w:basedOn w:val="1"/>
    <w:next w:val="1"/>
    <w:semiHidden/>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semiHidden/>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semiHidden/>
    <w:qFormat/>
    <w:uiPriority w:val="0"/>
    <w:pPr>
      <w:ind w:left="840" w:leftChars="200" w:hanging="420" w:hangingChars="200"/>
    </w:pPr>
  </w:style>
  <w:style w:type="paragraph" w:styleId="45">
    <w:name w:val="toc 2"/>
    <w:basedOn w:val="1"/>
    <w:next w:val="1"/>
    <w:semiHidden/>
    <w:qFormat/>
    <w:uiPriority w:val="0"/>
    <w:pPr>
      <w:tabs>
        <w:tab w:val="right" w:leader="dot" w:pos="8296"/>
      </w:tabs>
      <w:ind w:left="210"/>
      <w:jc w:val="left"/>
    </w:pPr>
    <w:rPr>
      <w:smallCaps/>
    </w:rPr>
  </w:style>
  <w:style w:type="paragraph" w:styleId="46">
    <w:name w:val="toc 9"/>
    <w:basedOn w:val="1"/>
    <w:next w:val="1"/>
    <w:semiHidden/>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Char"/>
    <w:basedOn w:val="56"/>
    <w:link w:val="47"/>
    <w:qFormat/>
    <w:uiPriority w:val="0"/>
    <w:rPr>
      <w:rFonts w:ascii="Times New Roman" w:hAnsi="Times New Roman" w:eastAsia="宋体" w:cs="Times New Roman"/>
      <w:sz w:val="24"/>
      <w:szCs w:val="24"/>
    </w:rPr>
  </w:style>
  <w:style w:type="character" w:customStyle="1" w:styleId="65">
    <w:name w:val="文档结构图 Char"/>
    <w:basedOn w:val="56"/>
    <w:link w:val="16"/>
    <w:semiHidden/>
    <w:qFormat/>
    <w:uiPriority w:val="0"/>
    <w:rPr>
      <w:rFonts w:ascii="Times New Roman" w:hAnsi="Times New Roman" w:eastAsia="宋体" w:cs="Times New Roman"/>
      <w:szCs w:val="24"/>
      <w:shd w:val="clear" w:color="auto" w:fill="000080"/>
    </w:rPr>
  </w:style>
  <w:style w:type="character" w:customStyle="1" w:styleId="66">
    <w:name w:val="正文文本 3 Char"/>
    <w:basedOn w:val="56"/>
    <w:link w:val="20"/>
    <w:qFormat/>
    <w:uiPriority w:val="0"/>
    <w:rPr>
      <w:rFonts w:ascii="Times New Roman" w:hAnsi="Times New Roman" w:eastAsia="宋体" w:cs="Times New Roman"/>
      <w:sz w:val="16"/>
      <w:szCs w:val="16"/>
    </w:rPr>
  </w:style>
  <w:style w:type="character" w:customStyle="1" w:styleId="67">
    <w:name w:val="正文文本缩进 Char"/>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locked/>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Char"/>
    <w:basedOn w:val="56"/>
    <w:link w:val="19"/>
    <w:qFormat/>
    <w:uiPriority w:val="0"/>
    <w:rPr>
      <w:rFonts w:ascii="Arial" w:hAnsi="Arial" w:eastAsia="宋体" w:cs="Times New Roman"/>
      <w:kern w:val="0"/>
      <w:sz w:val="24"/>
      <w:szCs w:val="20"/>
    </w:rPr>
  </w:style>
  <w:style w:type="character" w:customStyle="1" w:styleId="73">
    <w:name w:val="HTML 预设格式 Char"/>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Char"/>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Char"/>
    <w:basedOn w:val="56"/>
    <w:link w:val="5"/>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Char"/>
    <w:basedOn w:val="56"/>
    <w:link w:val="51"/>
    <w:qFormat/>
    <w:uiPriority w:val="0"/>
    <w:rPr>
      <w:rFonts w:ascii="Arial" w:hAnsi="Arial" w:eastAsia="宋体" w:cs="Arial"/>
      <w:b/>
      <w:bCs/>
      <w:sz w:val="30"/>
      <w:szCs w:val="32"/>
    </w:rPr>
  </w:style>
  <w:style w:type="character" w:customStyle="1" w:styleId="82">
    <w:name w:val="标题 8 Char"/>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Char"/>
    <w:basedOn w:val="56"/>
    <w:link w:val="21"/>
    <w:qFormat/>
    <w:uiPriority w:val="0"/>
    <w:rPr>
      <w:rFonts w:ascii="Times New Roman" w:hAnsi="Times New Roman" w:eastAsia="宋体" w:cs="Times New Roman"/>
      <w:b/>
      <w:bCs/>
      <w:sz w:val="24"/>
      <w:szCs w:val="24"/>
    </w:rPr>
  </w:style>
  <w:style w:type="character" w:customStyle="1" w:styleId="85">
    <w:name w:val="正文缩进 Char"/>
    <w:basedOn w:val="56"/>
    <w:link w:val="2"/>
    <w:qFormat/>
    <w:uiPriority w:val="0"/>
    <w:rPr>
      <w:rFonts w:ascii="Times New Roman" w:hAnsi="Times New Roman" w:eastAsia="宋体" w:cs="Times New Roman"/>
      <w:szCs w:val="20"/>
    </w:rPr>
  </w:style>
  <w:style w:type="character" w:customStyle="1" w:styleId="86">
    <w:name w:val="标题 3 Char1"/>
    <w:basedOn w:val="77"/>
    <w:link w:val="4"/>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Char"/>
    <w:basedOn w:val="56"/>
    <w:link w:val="35"/>
    <w:qFormat/>
    <w:uiPriority w:val="0"/>
    <w:rPr>
      <w:sz w:val="18"/>
      <w:szCs w:val="18"/>
    </w:rPr>
  </w:style>
  <w:style w:type="character" w:customStyle="1" w:styleId="91">
    <w:name w:val="标题 6 Char"/>
    <w:basedOn w:val="56"/>
    <w:link w:val="8"/>
    <w:qFormat/>
    <w:uiPriority w:val="0"/>
    <w:rPr>
      <w:rFonts w:ascii="Arial" w:hAnsi="Arial" w:eastAsia="黑体" w:cs="Times New Roman"/>
      <w:b/>
      <w:sz w:val="24"/>
      <w:szCs w:val="20"/>
    </w:rPr>
  </w:style>
  <w:style w:type="character" w:customStyle="1" w:styleId="92">
    <w:name w:val="日期 Char"/>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qFormat/>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Char"/>
    <w:basedOn w:val="56"/>
    <w:link w:val="3"/>
    <w:qFormat/>
    <w:uiPriority w:val="0"/>
    <w:rPr>
      <w:rFonts w:ascii="宋体" w:hAnsi="宋体" w:eastAsia="黑体" w:cs="Times New Roman"/>
      <w:b/>
      <w:kern w:val="44"/>
      <w:sz w:val="28"/>
      <w:szCs w:val="44"/>
    </w:rPr>
  </w:style>
  <w:style w:type="character" w:customStyle="1" w:styleId="106">
    <w:name w:val="标书正文格式 Char"/>
    <w:basedOn w:val="56"/>
    <w:link w:val="107"/>
    <w:qFormat/>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Char"/>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qFormat/>
    <w:uiPriority w:val="0"/>
    <w:rPr>
      <w:rFonts w:hint="default" w:ascii="Arial" w:hAnsi="Arial" w:eastAsia="宋体" w:cs="Arial"/>
      <w:b/>
      <w:bCs/>
      <w:color w:val="033479"/>
      <w:kern w:val="2"/>
      <w:sz w:val="20"/>
      <w:szCs w:val="20"/>
      <w:lang w:val="en-US" w:eastAsia="zh-CN" w:bidi="ar-SA"/>
    </w:rPr>
  </w:style>
  <w:style w:type="character" w:customStyle="1" w:styleId="116">
    <w:name w:val="正文首行缩进 Char"/>
    <w:basedOn w:val="84"/>
    <w:link w:val="53"/>
    <w:qFormat/>
    <w:uiPriority w:val="0"/>
    <w:rPr>
      <w:rFonts w:ascii="Times New Roman" w:hAnsi="Times New Roman" w:eastAsia="宋体" w:cs="Times New Roman"/>
      <w:sz w:val="24"/>
      <w:szCs w:val="24"/>
    </w:rPr>
  </w:style>
  <w:style w:type="character" w:customStyle="1" w:styleId="117">
    <w:name w:val="正文文本缩进 2 Char"/>
    <w:basedOn w:val="56"/>
    <w:link w:val="32"/>
    <w:qFormat/>
    <w:uiPriority w:val="0"/>
    <w:rPr>
      <w:rFonts w:ascii="宋体" w:hAnsi="宋体" w:eastAsia="宋体" w:cs="Times New Roman"/>
      <w:szCs w:val="24"/>
    </w:rPr>
  </w:style>
  <w:style w:type="character" w:customStyle="1" w:styleId="118">
    <w:name w:val="标题 2 Char"/>
    <w:basedOn w:val="56"/>
    <w:link w:val="6"/>
    <w:qFormat/>
    <w:uiPriority w:val="9"/>
    <w:rPr>
      <w:rFonts w:ascii="宋体" w:hAnsi="宋体" w:eastAsia="宋体" w:cs="Times New Roman"/>
      <w:b/>
      <w:bCs/>
      <w:kern w:val="0"/>
      <w:sz w:val="24"/>
      <w:szCs w:val="20"/>
    </w:rPr>
  </w:style>
  <w:style w:type="character" w:customStyle="1" w:styleId="119">
    <w:name w:val="批注文字 Char"/>
    <w:basedOn w:val="56"/>
    <w:link w:val="18"/>
    <w:semiHidden/>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Char"/>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Char"/>
    <w:basedOn w:val="56"/>
    <w:link w:val="7"/>
    <w:qFormat/>
    <w:uiPriority w:val="0"/>
    <w:rPr>
      <w:rFonts w:ascii="Times New Roman" w:hAnsi="Times New Roman" w:eastAsia="宋体" w:cs="Times New Roman"/>
      <w:b/>
      <w:sz w:val="28"/>
      <w:szCs w:val="20"/>
    </w:rPr>
  </w:style>
  <w:style w:type="character" w:customStyle="1" w:styleId="127">
    <w:name w:val="font1"/>
    <w:basedOn w:val="56"/>
    <w:qFormat/>
    <w:uiPriority w:val="0"/>
  </w:style>
  <w:style w:type="character" w:customStyle="1" w:styleId="128">
    <w:name w:val="标题 7 Char"/>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Char"/>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Char"/>
    <w:basedOn w:val="119"/>
    <w:link w:val="52"/>
    <w:qFormat/>
    <w:uiPriority w:val="0"/>
    <w:rPr>
      <w:rFonts w:ascii="Times New Roman" w:hAnsi="Times New Roman" w:eastAsia="宋体" w:cs="Times New Roman"/>
      <w:b/>
      <w:bCs/>
      <w:kern w:val="0"/>
      <w:sz w:val="34"/>
      <w:szCs w:val="24"/>
    </w:rPr>
  </w:style>
  <w:style w:type="character" w:customStyle="1" w:styleId="134">
    <w:name w:val="纯文本 Char"/>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4"/>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Char"/>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5"/>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qFormat/>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qFormat/>
    <w:uiPriority w:val="0"/>
    <w:pPr>
      <w:spacing w:line="360" w:lineRule="auto"/>
      <w:ind w:left="170" w:hanging="170"/>
      <w:jc w:val="left"/>
    </w:pPr>
    <w:rPr>
      <w:rFonts w:ascii="宋体" w:hAnsi="宋体"/>
      <w:sz w:val="24"/>
      <w:szCs w:val="20"/>
    </w:rPr>
  </w:style>
  <w:style w:type="paragraph" w:customStyle="1" w:styleId="156">
    <w:name w:val="文章标题"/>
    <w:next w:val="3"/>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4"/>
    <w:qFormat/>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2"/>
    <w:qFormat/>
    <w:uiPriority w:val="0"/>
    <w:pPr>
      <w:spacing w:line="360" w:lineRule="auto"/>
      <w:ind w:firstLine="480" w:firstLineChars="200"/>
    </w:pPr>
    <w:rPr>
      <w:sz w:val="24"/>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qFormat/>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qFormat/>
    <w:uiPriority w:val="0"/>
    <w:pPr>
      <w:snapToGrid w:val="0"/>
      <w:spacing w:before="120" w:line="540" w:lineRule="atLeast"/>
      <w:ind w:firstLine="567"/>
    </w:pPr>
    <w:rPr>
      <w:rFonts w:ascii="宋体"/>
      <w:kern w:val="52"/>
      <w:sz w:val="28"/>
      <w:szCs w:val="20"/>
    </w:rPr>
  </w:style>
  <w:style w:type="paragraph" w:customStyle="1" w:styleId="171">
    <w:name w:val="百姓X"/>
    <w:basedOn w:val="1"/>
    <w:qFormat/>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3"/>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qFormat/>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qFormat/>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qFormat/>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qFormat/>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qFormat/>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7"/>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2"/>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4"/>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6"/>
    <w:qFormat/>
    <w:uiPriority w:val="0"/>
    <w:pPr>
      <w:tabs>
        <w:tab w:val="left" w:pos="1276"/>
      </w:tabs>
      <w:adjustRightInd/>
      <w:ind w:left="851"/>
      <w:jc w:val="both"/>
      <w:textAlignment w:val="auto"/>
    </w:pPr>
    <w:rPr>
      <w:rFonts w:ascii="黑体" w:hAnsi="黑体" w:eastAsia="黑体"/>
      <w:b w:val="0"/>
      <w:bCs w:val="0"/>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qFormat/>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spacing w:beforeLines="0" w:afterLines="0"/>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6"/>
    <w:qFormat/>
    <w:uiPriority w:val="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qFormat/>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7"/>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qFormat/>
    <w:uiPriority w:val="0"/>
    <w:rPr>
      <w:rFonts w:ascii="Times New Roman" w:hAnsi="Times New Roman" w:eastAsia="宋体" w:cs="Times New Roman"/>
      <w:szCs w:val="20"/>
    </w:rPr>
  </w:style>
  <w:style w:type="paragraph" w:customStyle="1" w:styleId="29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qFormat/>
    <w:uiPriority w:val="0"/>
    <w:rPr>
      <w:rFonts w:ascii="Tahoma" w:hAnsi="Tahoma"/>
      <w:sz w:val="24"/>
      <w:szCs w:val="20"/>
    </w:rPr>
  </w:style>
  <w:style w:type="paragraph" w:customStyle="1" w:styleId="300">
    <w:name w:val="Char Char2"/>
    <w:basedOn w:val="1"/>
    <w:qFormat/>
    <w:uiPriority w:val="0"/>
    <w:rPr>
      <w:rFonts w:ascii="Tahoma" w:hAnsi="Tahoma"/>
      <w:sz w:val="24"/>
      <w:szCs w:val="20"/>
    </w:rPr>
  </w:style>
  <w:style w:type="paragraph" w:customStyle="1" w:styleId="301">
    <w:name w:val="Char Char Char Char Char Char Char"/>
    <w:basedOn w:val="1"/>
    <w:qFormat/>
    <w:uiPriority w:val="0"/>
    <w:pPr>
      <w:widowControl/>
      <w:spacing w:after="160" w:line="240" w:lineRule="exact"/>
      <w:jc w:val="left"/>
    </w:pPr>
  </w:style>
  <w:style w:type="paragraph" w:customStyle="1" w:styleId="302">
    <w:name w:val="Char Char Char Char Char Char Char1"/>
    <w:basedOn w:val="1"/>
    <w:qFormat/>
    <w:uiPriority w:val="0"/>
    <w:pPr>
      <w:widowControl/>
      <w:spacing w:after="160" w:line="240" w:lineRule="exact"/>
      <w:jc w:val="left"/>
    </w:pPr>
  </w:style>
  <w:style w:type="paragraph" w:styleId="303">
    <w:name w:val="List Paragraph"/>
    <w:basedOn w:val="1"/>
    <w:unhideWhenUsed/>
    <w:qFormat/>
    <w:uiPriority w:val="99"/>
    <w:pPr>
      <w:ind w:firstLine="420" w:firstLineChars="200"/>
    </w:pPr>
  </w:style>
  <w:style w:type="paragraph" w:customStyle="1" w:styleId="304">
    <w:name w:val="Revision"/>
    <w:hidden/>
    <w:unhideWhenUsed/>
    <w:qFormat/>
    <w:uiPriority w:val="99"/>
    <w:rPr>
      <w:rFonts w:ascii="Times New Roman" w:hAnsi="Times New Roman" w:eastAsia="宋体" w:cs="Times New Roman"/>
      <w:kern w:val="2"/>
      <w:sz w:val="21"/>
      <w:szCs w:val="24"/>
      <w:lang w:val="en-US" w:eastAsia="zh-CN" w:bidi="ar-SA"/>
    </w:rPr>
  </w:style>
  <w:style w:type="character" w:styleId="305">
    <w:name w:val="Placeholder Text"/>
    <w:basedOn w:val="56"/>
    <w:unhideWhenUsed/>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E9366-D48D-4496-B697-3E5E23DA02B0}">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Pages>
  <Words>3498</Words>
  <Characters>3800</Characters>
  <Lines>27</Lines>
  <Paragraphs>7</Paragraphs>
  <TotalTime>4</TotalTime>
  <ScaleCrop>false</ScaleCrop>
  <LinksUpToDate>false</LinksUpToDate>
  <CharactersWithSpaces>3808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2021-01-09T01:28:00Z</dcterms:created>
  <dc:creator>Chinese User</dc:creator>
  <cp:lastModifiedBy>TIGER</cp:lastModifiedBy>
  <cp:lastPrinted>2018-09-27T02:41:00Z</cp:lastPrinted>
  <dcterms:modified xsi:type="dcterms:W3CDTF">2022-08-24T02:35:18Z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44614B0E72CB4EAD89E3DD598E17F105</vt:lpwstr>
  </property>
</Properties>
</file>