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454" w:after="454"/>
        <w:ind w:left="454" w:right="454"/>
        <w:jc w:val="center"/>
        <w:outlineLvl w:val="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南方科技大学医院一次性微波消融针招标要求</w:t>
      </w: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一、投标人资质要求：</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1、具有独立法人资格；</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3、必须提供《医疗器械生产企业许可证》或《消毒产品生产企业卫生许可证》或备案凭证，且生产范围包含该产品；《医疗器械经营企业许可证》或备案凭证，且经营范围包含该产品；非医疗器械类无需提供；</w:t>
      </w:r>
      <w:bookmarkStart w:id="2" w:name="_GoBack"/>
      <w:bookmarkEnd w:id="2"/>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4、本次投标单位必须是厂家或一、二级代理商，三级代理授权无效；</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6、灭菌产品需提供灭菌消毒相关检测报告和相关材料（如检验报告书有体现的，可不提供）；</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7、不接受联合体投标。</w:t>
      </w:r>
    </w:p>
    <w:p>
      <w:pPr>
        <w:ind w:firstLine="210" w:firstLineChars="100"/>
        <w:rPr>
          <w:rFonts w:ascii="宋体" w:hAnsi="宋体" w:cs="宋体"/>
          <w:color w:val="000000" w:themeColor="text1"/>
          <w:szCs w:val="21"/>
          <w14:textFill>
            <w14:solidFill>
              <w14:schemeClr w14:val="tx1"/>
            </w14:solidFill>
          </w14:textFill>
        </w:rPr>
      </w:pPr>
    </w:p>
    <w:p>
      <w:pPr>
        <w:numPr>
          <w:ilvl w:val="0"/>
          <w:numId w:val="1"/>
        </w:num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招标项目</w:t>
      </w:r>
      <w:r>
        <w:rPr>
          <w:rFonts w:hint="eastAsia" w:ascii="宋体" w:hAnsi="宋体" w:cs="宋体"/>
          <w:b/>
          <w:color w:val="000000" w:themeColor="text1"/>
          <w:sz w:val="24"/>
          <w:lang w:val="en-US" w:eastAsia="zh-CN"/>
          <w14:textFill>
            <w14:solidFill>
              <w14:schemeClr w14:val="tx1"/>
            </w14:solidFill>
          </w14:textFill>
        </w:rPr>
        <w:t>名称和要求</w:t>
      </w:r>
      <w:r>
        <w:rPr>
          <w:rFonts w:hint="eastAsia" w:ascii="宋体" w:hAnsi="宋体" w:cs="宋体"/>
          <w:b/>
          <w:color w:val="000000" w:themeColor="text1"/>
          <w:sz w:val="24"/>
          <w14:textFill>
            <w14:solidFill>
              <w14:schemeClr w14:val="tx1"/>
            </w14:solidFill>
          </w14:textFill>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76"/>
        <w:gridCol w:w="1208"/>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招标项目</w:t>
            </w:r>
            <w:r>
              <w:rPr>
                <w:rFonts w:hint="eastAsia" w:ascii="宋体" w:hAnsi="宋体" w:cs="宋体"/>
                <w:b/>
                <w:color w:val="000000" w:themeColor="text1"/>
                <w:sz w:val="24"/>
                <w:lang w:val="en-US" w:eastAsia="zh-CN"/>
                <w14:textFill>
                  <w14:solidFill>
                    <w14:schemeClr w14:val="tx1"/>
                  </w14:solidFill>
                </w14:textFill>
              </w:rPr>
              <w:t>名称</w:t>
            </w:r>
          </w:p>
        </w:tc>
        <w:tc>
          <w:tcPr>
            <w:tcW w:w="776"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产地</w:t>
            </w:r>
          </w:p>
        </w:tc>
        <w:tc>
          <w:tcPr>
            <w:tcW w:w="1208"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中</w:t>
            </w:r>
            <w:r>
              <w:rPr>
                <w:rFonts w:hint="eastAsia" w:ascii="宋体" w:hAnsi="宋体" w:cs="宋体"/>
                <w:b/>
                <w:color w:val="000000" w:themeColor="text1"/>
                <w:sz w:val="24"/>
                <w14:textFill>
                  <w14:solidFill>
                    <w14:schemeClr w14:val="tx1"/>
                  </w14:solidFill>
                </w14:textFill>
              </w:rPr>
              <w:t>标供应商数量</w:t>
            </w:r>
          </w:p>
        </w:tc>
        <w:tc>
          <w:tcPr>
            <w:tcW w:w="4078"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一次性微波消融针</w:t>
            </w:r>
          </w:p>
        </w:tc>
        <w:tc>
          <w:tcPr>
            <w:tcW w:w="776"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国产</w:t>
            </w:r>
          </w:p>
        </w:tc>
        <w:tc>
          <w:tcPr>
            <w:tcW w:w="1208"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1家</w:t>
            </w:r>
          </w:p>
        </w:tc>
        <w:tc>
          <w:tcPr>
            <w:tcW w:w="4078"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与南京亿高微波系统工程有限公司生产的微波治疗仪（ECO-100A1 、ECO-100B 、ECO-100E）配套使用，用于医院对病人进行微波热凝治疗。</w:t>
            </w:r>
          </w:p>
        </w:tc>
      </w:tr>
    </w:tbl>
    <w:p>
      <w:pPr>
        <w:rPr>
          <w:rFonts w:ascii="宋体" w:hAnsi="宋体" w:cs="宋体"/>
          <w:b/>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三、货物清单:</w:t>
      </w:r>
    </w:p>
    <w:p>
      <w:pPr>
        <w:pStyle w:val="25"/>
        <w:ind w:left="765" w:firstLine="0" w:firstLineChars="0"/>
        <w:rPr>
          <w:rFonts w:ascii="宋体" w:hAnsi="宋体" w:cs="宋体"/>
          <w:b/>
          <w:color w:val="000000" w:themeColor="text1"/>
          <w:sz w:val="24"/>
          <w14:textFill>
            <w14:solidFill>
              <w14:schemeClr w14:val="tx1"/>
            </w14:solidFill>
          </w14:textFill>
        </w:rPr>
      </w:pPr>
    </w:p>
    <w:tbl>
      <w:tblPr>
        <w:tblStyle w:val="11"/>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792"/>
        <w:gridCol w:w="1134"/>
        <w:gridCol w:w="1435"/>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79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货物通用名称</w:t>
            </w:r>
          </w:p>
        </w:tc>
        <w:tc>
          <w:tcPr>
            <w:tcW w:w="113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143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规格</w:t>
            </w:r>
          </w:p>
        </w:tc>
        <w:tc>
          <w:tcPr>
            <w:tcW w:w="2009" w:type="dxa"/>
            <w:tcBorders>
              <w:bottom w:val="single" w:color="auto" w:sz="4" w:space="0"/>
            </w:tcBorders>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1"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2792" w:type="dxa"/>
            <w:vAlign w:val="center"/>
          </w:tcPr>
          <w:p>
            <w:pPr>
              <w:widowControl/>
              <w:jc w:val="center"/>
              <w:textAlignment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一次性微波消融针</w:t>
            </w:r>
          </w:p>
        </w:tc>
        <w:tc>
          <w:tcPr>
            <w:tcW w:w="1134"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支</w:t>
            </w:r>
          </w:p>
        </w:tc>
        <w:tc>
          <w:tcPr>
            <w:tcW w:w="1435"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各规格</w:t>
            </w:r>
          </w:p>
        </w:tc>
        <w:tc>
          <w:tcPr>
            <w:tcW w:w="2009" w:type="dxa"/>
            <w:vAlign w:val="center"/>
          </w:tcPr>
          <w:p>
            <w:pPr>
              <w:jc w:val="center"/>
              <w:rPr>
                <w:rFonts w:ascii="宋体" w:hAnsi="宋体" w:cs="宋体"/>
                <w:color w:val="000000" w:themeColor="text1"/>
                <w:szCs w:val="21"/>
                <w14:textFill>
                  <w14:solidFill>
                    <w14:schemeClr w14:val="tx1"/>
                  </w14:solidFill>
                </w14:textFill>
              </w:rPr>
            </w:pPr>
          </w:p>
        </w:tc>
      </w:tr>
    </w:tbl>
    <w:p>
      <w:pPr>
        <w:pStyle w:val="2"/>
        <w:spacing w:before="120" w:beforeLines="50" w:after="120" w:afterLines="50"/>
        <w:jc w:val="both"/>
        <w:rPr>
          <w:rFonts w:cs="宋体"/>
          <w:bCs w:val="0"/>
          <w:color w:val="000000" w:themeColor="text1"/>
          <w:kern w:val="2"/>
          <w:szCs w:val="24"/>
          <w14:textFill>
            <w14:solidFill>
              <w14:schemeClr w14:val="tx1"/>
            </w14:solidFill>
          </w14:textFill>
        </w:rPr>
      </w:pPr>
    </w:p>
    <w:p>
      <w:pPr>
        <w:pStyle w:val="2"/>
        <w:spacing w:before="120" w:beforeLines="50" w:after="120" w:afterLines="50"/>
        <w:jc w:val="both"/>
        <w:rPr>
          <w:rFonts w:cs="宋体"/>
          <w:bCs w:val="0"/>
          <w:color w:val="000000" w:themeColor="text1"/>
          <w:kern w:val="2"/>
          <w:szCs w:val="24"/>
          <w14:textFill>
            <w14:solidFill>
              <w14:schemeClr w14:val="tx1"/>
            </w14:solidFill>
          </w14:textFill>
        </w:rPr>
      </w:pPr>
      <w:r>
        <w:rPr>
          <w:rFonts w:hint="eastAsia" w:cs="宋体"/>
          <w:bCs w:val="0"/>
          <w:color w:val="000000" w:themeColor="text1"/>
          <w:kern w:val="2"/>
          <w:szCs w:val="24"/>
          <w14:textFill>
            <w14:solidFill>
              <w14:schemeClr w14:val="tx1"/>
            </w14:solidFill>
          </w14:textFill>
        </w:rPr>
        <w:t xml:space="preserve">四、具体技术要求  </w:t>
      </w:r>
    </w:p>
    <w:p>
      <w:pPr>
        <w:rPr>
          <w:rFonts w:ascii="宋体" w:hAnsi="宋体" w:cs="宋体"/>
          <w:b/>
          <w:color w:val="000000" w:themeColor="text1"/>
          <w:sz w:val="24"/>
          <w14:textFill>
            <w14:solidFill>
              <w14:schemeClr w14:val="tx1"/>
            </w14:solidFill>
          </w14:textFill>
        </w:rPr>
      </w:pPr>
    </w:p>
    <w:tbl>
      <w:tblPr>
        <w:tblStyle w:val="11"/>
        <w:tblW w:w="7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09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jc w:val="center"/>
              <w:rPr>
                <w:rFonts w:ascii="宋体" w:hAnsi="宋体" w:cs="宋体"/>
                <w:b/>
                <w:color w:val="000000" w:themeColor="text1"/>
                <w:szCs w:val="21"/>
                <w14:textFill>
                  <w14:solidFill>
                    <w14:schemeClr w14:val="tx1"/>
                  </w14:solidFill>
                </w14:textFill>
              </w:rPr>
            </w:pPr>
            <w:bookmarkStart w:id="0" w:name="_Hlk107673655"/>
            <w:r>
              <w:rPr>
                <w:rFonts w:hint="eastAsia" w:ascii="宋体" w:hAnsi="宋体" w:cs="宋体"/>
                <w:b/>
                <w:color w:val="000000" w:themeColor="text1"/>
                <w:szCs w:val="21"/>
                <w14:textFill>
                  <w14:solidFill>
                    <w14:schemeClr w14:val="tx1"/>
                  </w14:solidFill>
                </w14:textFill>
              </w:rPr>
              <w:t>序号</w:t>
            </w:r>
          </w:p>
        </w:tc>
        <w:tc>
          <w:tcPr>
            <w:tcW w:w="609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招标技术要求</w:t>
            </w:r>
          </w:p>
        </w:tc>
        <w:tc>
          <w:tcPr>
            <w:tcW w:w="97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6095" w:type="dxa"/>
            <w:vAlign w:val="center"/>
          </w:tcPr>
          <w:p>
            <w:pPr>
              <w:rPr>
                <w:rFonts w:ascii="宋体" w:hAnsi="宋体" w:cs="宋体"/>
                <w:b/>
                <w:color w:val="000000" w:themeColor="text1"/>
                <w:kern w:val="0"/>
                <w:szCs w:val="21"/>
                <w14:textFill>
                  <w14:solidFill>
                    <w14:schemeClr w14:val="tx1"/>
                  </w14:solidFill>
                </w14:textFill>
              </w:rPr>
            </w:pPr>
            <w:r>
              <w:rPr>
                <w:rFonts w:hint="eastAsia"/>
                <w:color w:val="000000" w:themeColor="text1"/>
                <w:sz w:val="24"/>
                <w14:textFill>
                  <w14:solidFill>
                    <w14:schemeClr w14:val="tx1"/>
                  </w14:solidFill>
                </w14:textFill>
              </w:rPr>
              <w:t>微波治疗仪和一次性微波消融针配合，供医疗机构用于人体实体瘤的凝固治疗用。（不单是肝肺癌、包括甲状腺、甲状腺旁腺、骨、子宫肌瘤、乳腺、血管瘤、头颈、淋巴结等）。</w:t>
            </w:r>
          </w:p>
        </w:tc>
        <w:tc>
          <w:tcPr>
            <w:tcW w:w="972"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6095" w:type="dxa"/>
            <w:vAlign w:val="center"/>
          </w:tcPr>
          <w:p>
            <w:pPr>
              <w:rPr>
                <w:rFonts w:ascii="宋体" w:hAnsi="宋体" w:cs="宋体"/>
                <w:b/>
                <w:color w:val="000000" w:themeColor="text1"/>
                <w:kern w:val="0"/>
                <w:szCs w:val="21"/>
                <w14:textFill>
                  <w14:solidFill>
                    <w14:schemeClr w14:val="tx1"/>
                  </w14:solidFill>
                </w14:textFill>
              </w:rPr>
            </w:pPr>
            <w:r>
              <w:rPr>
                <w:rFonts w:ascii="Segoe UI Symbol" w:hAnsi="Segoe UI Symbol" w:cs="Tahoma"/>
                <w:color w:val="000000" w:themeColor="text1"/>
                <w:kern w:val="0"/>
                <w:sz w:val="22"/>
                <w14:textFill>
                  <w14:solidFill>
                    <w14:schemeClr w14:val="tx1"/>
                  </w14:solidFill>
                </w14:textFill>
              </w:rPr>
              <w:t>▲</w:t>
            </w:r>
            <w:r>
              <w:rPr>
                <w:rFonts w:hint="eastAsia"/>
                <w:color w:val="000000" w:themeColor="text1"/>
                <w:sz w:val="24"/>
                <w14:textFill>
                  <w14:solidFill>
                    <w14:schemeClr w14:val="tx1"/>
                  </w14:solidFill>
                </w14:textFill>
              </w:rPr>
              <w:t>功率控制设定、数字显示：具有两个单独可控的输出通道设置。输出方式：连续波输出功率均为：150W，连续可调。</w:t>
            </w:r>
          </w:p>
        </w:tc>
        <w:tc>
          <w:tcPr>
            <w:tcW w:w="972"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6095"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术前自检，对微波系统、冷却系统和微波针进行自检，实现控制不安全不合格微波针。（术前微波机会对水循环系统以及微波输出系统进行自动检测，如果发现异常，立即亮红灯报警，通过正常黄灯）。</w:t>
            </w:r>
          </w:p>
          <w:p>
            <w:pPr>
              <w:rPr>
                <w:color w:val="000000" w:themeColor="text1"/>
                <w:sz w:val="24"/>
                <w14:textFill>
                  <w14:solidFill>
                    <w14:schemeClr w14:val="tx1"/>
                  </w14:solidFill>
                </w14:textFill>
              </w:rPr>
            </w:pPr>
          </w:p>
        </w:tc>
        <w:tc>
          <w:tcPr>
            <w:tcW w:w="972"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6095" w:type="dxa"/>
            <w:vAlign w:val="center"/>
          </w:tcPr>
          <w:p>
            <w:pPr>
              <w:rPr>
                <w:color w:val="000000" w:themeColor="text1"/>
                <w:sz w:val="24"/>
                <w14:textFill>
                  <w14:solidFill>
                    <w14:schemeClr w14:val="tx1"/>
                  </w14:solidFill>
                </w14:textFill>
              </w:rPr>
            </w:pPr>
            <w:bookmarkStart w:id="1" w:name="OLE_LINK3"/>
            <w:r>
              <w:rPr>
                <w:rFonts w:hint="eastAsia"/>
                <w:color w:val="000000" w:themeColor="text1"/>
                <w:sz w:val="24"/>
                <w14:textFill>
                  <w14:solidFill>
                    <w14:schemeClr w14:val="tx1"/>
                  </w14:solidFill>
                </w14:textFill>
              </w:rPr>
              <w:t>测温系统：与设备配套使用，精度±0.5℃，实时监测消融针与正常组织接触面的温度，并且数据可显示在仪器上</w:t>
            </w:r>
            <w:bookmarkEnd w:id="1"/>
            <w:r>
              <w:rPr>
                <w:rFonts w:hint="eastAsia"/>
                <w:color w:val="000000" w:themeColor="text1"/>
                <w:sz w:val="24"/>
                <w14:textFill>
                  <w14:solidFill>
                    <w14:schemeClr w14:val="tx1"/>
                  </w14:solidFill>
                </w14:textFill>
              </w:rPr>
              <w:t xml:space="preserve"> 。</w:t>
            </w:r>
          </w:p>
        </w:tc>
        <w:tc>
          <w:tcPr>
            <w:tcW w:w="972"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p>
        </w:tc>
        <w:tc>
          <w:tcPr>
            <w:tcW w:w="6095"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▲具备超细臻圆技术，具有17G或更细针，消融圆形，适形消融。（需提供样品）、设备有自动检查功能、退针按键、参数调取。</w:t>
            </w:r>
          </w:p>
        </w:tc>
        <w:tc>
          <w:tcPr>
            <w:tcW w:w="972"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0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6095"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配合临床在电磁导航支气管镜开展新型手术专用耗材。</w:t>
            </w:r>
          </w:p>
        </w:tc>
        <w:tc>
          <w:tcPr>
            <w:tcW w:w="972"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0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6095" w:type="dxa"/>
            <w:vAlign w:val="center"/>
          </w:tcPr>
          <w:p>
            <w:pPr>
              <w:rPr>
                <w:color w:val="000000" w:themeColor="text1"/>
                <w:sz w:val="24"/>
                <w14:textFill>
                  <w14:solidFill>
                    <w14:schemeClr w14:val="tx1"/>
                  </w14:solidFill>
                </w14:textFill>
              </w:rPr>
            </w:pPr>
            <w:r>
              <w:rPr>
                <w:rFonts w:ascii="Segoe UI Symbol" w:hAnsi="Segoe UI Symbol" w:cs="Tahoma"/>
                <w:color w:val="000000" w:themeColor="text1"/>
                <w:kern w:val="0"/>
                <w:sz w:val="22"/>
                <w14:textFill>
                  <w14:solidFill>
                    <w14:schemeClr w14:val="tx1"/>
                  </w14:solidFill>
                </w14:textFill>
              </w:rPr>
              <w:t>▲</w:t>
            </w:r>
            <w:r>
              <w:rPr>
                <w:rFonts w:hint="eastAsia"/>
                <w:color w:val="000000" w:themeColor="text1"/>
                <w:sz w:val="24"/>
                <w14:textFill>
                  <w14:solidFill>
                    <w14:schemeClr w14:val="tx1"/>
                  </w14:solidFill>
                </w14:textFill>
              </w:rPr>
              <w:t>刀杆直径：1.4㎜、1.6㎜、1.8㎜、2.0㎜、2.5㎜、3.2㎜。</w:t>
            </w:r>
          </w:p>
        </w:tc>
        <w:tc>
          <w:tcPr>
            <w:tcW w:w="972"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6095"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刀杆长度：5㎝、10㎝、12㎝、15㎝、18㎝、20㎝、25cm。</w:t>
            </w:r>
          </w:p>
        </w:tc>
        <w:tc>
          <w:tcPr>
            <w:tcW w:w="972"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0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w:t>
            </w:r>
          </w:p>
        </w:tc>
        <w:tc>
          <w:tcPr>
            <w:tcW w:w="6095"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微波辐射器发射窗口长度为1cm～2cm。</w:t>
            </w:r>
          </w:p>
        </w:tc>
        <w:tc>
          <w:tcPr>
            <w:tcW w:w="972"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0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6095"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▲微波消融针能配备设备凝固模式使用开展手术，满足手术出血风险要求。</w:t>
            </w:r>
          </w:p>
        </w:tc>
        <w:tc>
          <w:tcPr>
            <w:tcW w:w="972" w:type="dxa"/>
            <w:vAlign w:val="center"/>
          </w:tcPr>
          <w:p>
            <w:pPr>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p>
        </w:tc>
        <w:tc>
          <w:tcPr>
            <w:tcW w:w="6095"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▲产品具有CE认证及13485质量体系认证、设备具有冷却温度、旁开温度显示。（需提供文件证明）</w:t>
            </w:r>
          </w:p>
        </w:tc>
        <w:tc>
          <w:tcPr>
            <w:tcW w:w="972" w:type="dxa"/>
            <w:vAlign w:val="center"/>
          </w:tcPr>
          <w:p>
            <w:pPr>
              <w:jc w:val="center"/>
              <w:rPr>
                <w:rFonts w:ascii="宋体" w:hAnsi="宋体" w:cs="宋体"/>
                <w:b/>
                <w:color w:val="000000" w:themeColor="text1"/>
                <w:szCs w:val="21"/>
                <w14:textFill>
                  <w14:solidFill>
                    <w14:schemeClr w14:val="tx1"/>
                  </w14:solidFill>
                </w14:textFill>
              </w:rPr>
            </w:pPr>
          </w:p>
        </w:tc>
      </w:tr>
      <w:bookmarkEnd w:id="0"/>
    </w:tbl>
    <w:p>
      <w:pPr>
        <w:pStyle w:val="2"/>
        <w:spacing w:before="120" w:beforeLines="50" w:after="120" w:afterLines="5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注：★要求提供产品注册检验报告的全部内容复印件作为技术参数的证明材料</w:t>
      </w:r>
    </w:p>
    <w:p>
      <w:pPr>
        <w:pStyle w:val="2"/>
        <w:spacing w:before="120" w:beforeLines="50" w:after="120" w:afterLines="50"/>
        <w:jc w:val="both"/>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五、分项报价清单</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
          <w:color w:val="000000" w:themeColor="text1"/>
          <w:sz w:val="24"/>
          <w14:textFill>
            <w14:solidFill>
              <w14:schemeClr w14:val="tx1"/>
            </w14:solidFill>
          </w14:textFill>
        </w:rPr>
        <w:t>项目报价表</w:t>
      </w:r>
    </w:p>
    <w:tbl>
      <w:tblPr>
        <w:tblStyle w:val="11"/>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8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7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货物名称</w:t>
            </w:r>
          </w:p>
        </w:tc>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阳光平台编码</w:t>
            </w:r>
          </w:p>
        </w:tc>
        <w:tc>
          <w:tcPr>
            <w:tcW w:w="8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产品注册名称</w:t>
            </w:r>
          </w:p>
        </w:tc>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产品注册证号</w:t>
            </w:r>
          </w:p>
        </w:tc>
        <w:tc>
          <w:tcPr>
            <w:tcW w:w="99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型号</w:t>
            </w:r>
          </w:p>
        </w:tc>
        <w:tc>
          <w:tcPr>
            <w:tcW w:w="99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原产地/品牌</w:t>
            </w:r>
          </w:p>
        </w:tc>
        <w:tc>
          <w:tcPr>
            <w:tcW w:w="141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生产企业</w:t>
            </w:r>
          </w:p>
        </w:tc>
        <w:tc>
          <w:tcPr>
            <w:tcW w:w="70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包装规格</w:t>
            </w:r>
          </w:p>
        </w:tc>
        <w:tc>
          <w:tcPr>
            <w:tcW w:w="82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7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bl>
    <w:p>
      <w:pP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*注：</w:t>
      </w:r>
      <w:r>
        <w:rPr>
          <w:rFonts w:hint="eastAsia" w:ascii="宋体" w:hAnsi="宋体" w:cs="宋体"/>
          <w:b/>
          <w:bCs/>
          <w:color w:val="000000" w:themeColor="text1"/>
          <w:szCs w:val="21"/>
          <w14:textFill>
            <w14:solidFill>
              <w14:schemeClr w14:val="tx1"/>
            </w14:solidFill>
          </w14:textFill>
        </w:rPr>
        <w:t xml:space="preserve"> （1）</w:t>
      </w:r>
      <w:r>
        <w:rPr>
          <w:rFonts w:ascii="宋体" w:hAnsi="宋体" w:cs="宋体"/>
          <w:b/>
          <w:bCs/>
          <w:color w:val="000000" w:themeColor="text1"/>
          <w:szCs w:val="21"/>
          <w14:textFill>
            <w14:solidFill>
              <w14:schemeClr w14:val="tx1"/>
            </w14:solidFill>
          </w14:textFill>
        </w:rPr>
        <w:t>投标人所报单价需保证为深圳地区最低价</w:t>
      </w:r>
      <w:r>
        <w:rPr>
          <w:rFonts w:hint="eastAsia" w:ascii="宋体" w:hAnsi="宋体" w:cs="宋体"/>
          <w:b/>
          <w:bCs/>
          <w:color w:val="000000" w:themeColor="text1"/>
          <w:szCs w:val="21"/>
          <w14:textFill>
            <w14:solidFill>
              <w14:schemeClr w14:val="tx1"/>
            </w14:solidFill>
          </w14:textFill>
        </w:rPr>
        <w:t>。</w:t>
      </w:r>
      <w:r>
        <w:rPr>
          <w:rFonts w:ascii="宋体" w:hAnsi="宋体" w:cs="宋体"/>
          <w:b/>
          <w:bCs/>
          <w:color w:val="000000" w:themeColor="text1"/>
          <w:szCs w:val="21"/>
          <w14:textFill>
            <w14:solidFill>
              <w14:schemeClr w14:val="tx1"/>
            </w14:solidFill>
          </w14:textFill>
        </w:rPr>
        <w:t xml:space="preserve"> </w:t>
      </w:r>
    </w:p>
    <w:p>
      <w:pPr>
        <w:ind w:firstLine="632" w:firstLineChars="3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（2）医院合作供货商参与投标，其投标价格不得高于原供货价格。</w:t>
      </w:r>
    </w:p>
    <w:p>
      <w:pPr>
        <w:ind w:firstLine="632" w:firstLineChars="3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（3）投标产品在深圳医用耗材阳光交易平台备案且投标人具备该产品平台配送资质。</w:t>
      </w:r>
    </w:p>
    <w:p>
      <w:pPr>
        <w:ind w:firstLine="632" w:firstLineChars="300"/>
        <w:rPr>
          <w:rFonts w:ascii="Calibri" w:hAnsi="Calibri" w:cs="宋体"/>
          <w:color w:val="000000" w:themeColor="text1"/>
          <w:sz w:val="24"/>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（4）如价格有调整，调价前5个工作日内必须把调价函送达医院招标采购中心，否则医院一切损失由供货方承担</w:t>
      </w:r>
      <w:r>
        <w:rPr>
          <w:rFonts w:ascii="宋体" w:hAnsi="宋体" w:cs="宋体"/>
          <w:b/>
          <w:bCs/>
          <w:color w:val="000000" w:themeColor="text1"/>
          <w:szCs w:val="21"/>
          <w14:textFill>
            <w14:solidFill>
              <w14:schemeClr w14:val="tx1"/>
            </w14:solidFill>
          </w14:textFill>
        </w:rPr>
        <w:t>。</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使用产品的医院名单（附清晰的发票复印件）</w:t>
      </w:r>
    </w:p>
    <w:tbl>
      <w:tblPr>
        <w:tblStyle w:val="11"/>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规格及型号</w:t>
            </w:r>
          </w:p>
        </w:tc>
        <w:tc>
          <w:tcPr>
            <w:tcW w:w="1417"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省份+城市</w:t>
            </w:r>
          </w:p>
        </w:tc>
        <w:tc>
          <w:tcPr>
            <w:tcW w:w="2346"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医院名称</w:t>
            </w:r>
          </w:p>
        </w:tc>
        <w:tc>
          <w:tcPr>
            <w:tcW w:w="1786"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医院级别</w:t>
            </w:r>
          </w:p>
        </w:tc>
        <w:tc>
          <w:tcPr>
            <w:tcW w:w="1337"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发票日期</w:t>
            </w:r>
          </w:p>
        </w:tc>
        <w:tc>
          <w:tcPr>
            <w:tcW w:w="1180"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1、如空格不够填写可自行添加，请勿删除表格内容；</w:t>
      </w:r>
    </w:p>
    <w:p>
      <w:pPr>
        <w:tabs>
          <w:tab w:val="left" w:pos="312"/>
        </w:tabs>
        <w:ind w:firstLine="525" w:firstLineChars="250"/>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2、所提供的发票不限于贵司，需近一年内发票，优先考虑深圳市内，其次省内外；</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供应商认为需要涉及的其他内容报价清单（不改变格式，可添加）。</w:t>
      </w:r>
    </w:p>
    <w:p>
      <w:pPr>
        <w:rPr>
          <w:rFonts w:ascii="宋体" w:hAnsi="宋体" w:cs="宋体"/>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配送时效（</w:t>
      </w:r>
      <w:r>
        <w:rPr>
          <w:rFonts w:hint="eastAsia" w:ascii="宋体" w:hAnsi="宋体" w:cs="宋体"/>
          <w:color w:val="000000" w:themeColor="text1"/>
          <w:sz w:val="24"/>
          <w14:textFill>
            <w14:solidFill>
              <w14:schemeClr w14:val="tx1"/>
            </w14:solidFill>
          </w14:textFill>
        </w:rPr>
        <w:t>请打“√”</w:t>
      </w:r>
      <w:r>
        <w:rPr>
          <w:rFonts w:hint="eastAsia" w:ascii="宋体" w:hAnsi="宋体" w:cs="宋体"/>
          <w:b/>
          <w:color w:val="000000" w:themeColor="text1"/>
          <w:sz w:val="24"/>
          <w14:textFill>
            <w14:solidFill>
              <w14:schemeClr w14:val="tx1"/>
            </w14:solidFill>
          </w14:textFill>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当天</w:t>
            </w:r>
          </w:p>
        </w:tc>
        <w:tc>
          <w:tcPr>
            <w:tcW w:w="1843"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3个工作日</w:t>
            </w:r>
          </w:p>
        </w:tc>
        <w:tc>
          <w:tcPr>
            <w:tcW w:w="198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1周内</w:t>
            </w:r>
          </w:p>
        </w:tc>
        <w:tc>
          <w:tcPr>
            <w:tcW w:w="1985"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1-2周内</w:t>
            </w:r>
          </w:p>
        </w:tc>
        <w:tc>
          <w:tcPr>
            <w:tcW w:w="1821"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821"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rPr>
          <w:rFonts w:ascii="宋体" w:hAnsi="宋体" w:cs="宋体"/>
          <w:color w:val="000000" w:themeColor="text1"/>
          <w:sz w:val="24"/>
          <w14:textFill>
            <w14:solidFill>
              <w14:schemeClr w14:val="tx1"/>
            </w14:solidFill>
          </w14:textFill>
        </w:rPr>
      </w:pPr>
    </w:p>
    <w:p>
      <w:pPr>
        <w:pStyle w:val="2"/>
        <w:spacing w:before="120" w:beforeLines="50" w:after="120" w:afterLines="50"/>
        <w:jc w:val="both"/>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六、商务需求</w:t>
      </w: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62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目录</w:t>
            </w:r>
          </w:p>
        </w:tc>
        <w:tc>
          <w:tcPr>
            <w:tcW w:w="548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有效期</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w:t>
            </w:r>
          </w:p>
        </w:tc>
        <w:tc>
          <w:tcPr>
            <w:tcW w:w="5484" w:type="dxa"/>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rPr>
                <w:rFonts w:ascii="宋体" w:hAnsi="宋体" w:cs="宋体"/>
                <w:color w:val="000000" w:themeColor="text1"/>
                <w:szCs w:val="21"/>
                <w14:textFill>
                  <w14:solidFill>
                    <w14:schemeClr w14:val="tx1"/>
                  </w14:solidFill>
                </w14:textFill>
              </w:rPr>
            </w:pPr>
          </w:p>
        </w:tc>
        <w:tc>
          <w:tcPr>
            <w:tcW w:w="5484" w:type="dxa"/>
            <w:vAlign w:val="center"/>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2.2供</w:t>
            </w:r>
            <w:r>
              <w:rPr>
                <w:rFonts w:hint="eastAsia" w:ascii="宋体" w:hAnsi="宋体" w:cs="宋体"/>
                <w:bCs/>
                <w:color w:val="000000" w:themeColor="text1"/>
                <w:szCs w:val="21"/>
                <w14:textFill>
                  <w14:solidFill>
                    <w14:schemeClr w14:val="tx1"/>
                  </w14:solidFill>
                </w14:textFill>
              </w:rPr>
              <w:t>方</w:t>
            </w:r>
            <w:r>
              <w:rPr>
                <w:rFonts w:hint="eastAsia" w:ascii="宋体" w:hAnsi="宋体" w:cs="宋体"/>
                <w:color w:val="000000" w:themeColor="text1"/>
                <w:szCs w:val="21"/>
                <w14:textFill>
                  <w14:solidFill>
                    <w14:schemeClr w14:val="tx1"/>
                  </w14:solidFill>
                </w14:textFill>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rPr>
                <w:rFonts w:ascii="宋体" w:hAnsi="宋体" w:cs="宋体"/>
                <w:color w:val="000000" w:themeColor="text1"/>
                <w:szCs w:val="21"/>
                <w14:textFill>
                  <w14:solidFill>
                    <w14:schemeClr w14:val="tx1"/>
                  </w14:solidFill>
                </w14:textFill>
              </w:rPr>
            </w:pPr>
          </w:p>
        </w:tc>
        <w:tc>
          <w:tcPr>
            <w:tcW w:w="5484"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手术中需要使用的材料，一般医用耗材、急（抢）救医用耗材等，在接到通知24小时内送货到指定地点，应急情况下，3小时内供货至指定地点，节假日照常配送</w:t>
            </w:r>
            <w:r>
              <w:rPr>
                <w:rFonts w:hint="eastAsia" w:ascii="宋体" w:hAnsi="宋体" w:cs="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验收</w:t>
            </w:r>
          </w:p>
        </w:tc>
        <w:tc>
          <w:tcPr>
            <w:tcW w:w="5484" w:type="dxa"/>
          </w:tcPr>
          <w:p>
            <w:pPr>
              <w:spacing w:line="3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供方</w:t>
            </w:r>
            <w:r>
              <w:rPr>
                <w:rFonts w:hint="eastAsia" w:ascii="宋体" w:hAnsi="宋体" w:cs="宋体"/>
                <w:bCs/>
                <w:color w:val="000000" w:themeColor="text1"/>
                <w:szCs w:val="21"/>
                <w14:textFill>
                  <w14:solidFill>
                    <w14:schemeClr w14:val="tx1"/>
                  </w14:solidFill>
                </w14:textFill>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62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3.1全额发票与货同行，货到验收合格后三个月内支付全部货款；</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3.3如发票不能与货同行，必须在当月25日前补交，逾期不交，则货款不予以支付。</w:t>
            </w:r>
          </w:p>
        </w:tc>
      </w:tr>
    </w:tbl>
    <w:p>
      <w:pPr>
        <w:tabs>
          <w:tab w:val="left" w:pos="1260"/>
        </w:tabs>
        <w:spacing w:line="400" w:lineRule="exact"/>
        <w:rPr>
          <w:rFonts w:ascii="宋体" w:hAnsi="宋体" w:cs="宋体"/>
          <w:bCs/>
          <w:color w:val="000000" w:themeColor="text1"/>
          <w:szCs w:val="21"/>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七、评标方法：综合评标法（总分100分）</w:t>
      </w:r>
    </w:p>
    <w:p>
      <w:pPr>
        <w:ind w:left="92" w:leftChars="44" w:firstLine="42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如发现投标价虚报、瞒报，将列入诚信黑名单，一年内不得参与医院招标活动；开标后，将对发票真实性进行核实，对伪造发票者，取消中标资格，</w:t>
      </w:r>
      <w:r>
        <w:rPr>
          <w:rFonts w:ascii="Calibri" w:hAnsi="Calibri" w:cs="宋体"/>
          <w:color w:val="000000" w:themeColor="text1"/>
          <w14:textFill>
            <w14:solidFill>
              <w14:schemeClr w14:val="tx1"/>
            </w14:solidFill>
          </w14:textFill>
        </w:rPr>
        <w:t>涉嫌违法的移送上级有关部门或司法机关处理。</w:t>
      </w:r>
    </w:p>
    <w:p>
      <w:pPr>
        <w:ind w:left="92" w:leftChars="44" w:firstLine="420" w:firstLineChars="200"/>
        <w:rPr>
          <w:rFonts w:ascii="宋体" w:hAnsi="宋体" w:cs="宋体"/>
          <w:color w:val="000000" w:themeColor="text1"/>
          <w:szCs w:val="21"/>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八、评标委员会人数为5人及以上（单数），评标时取总分计算排名；</w:t>
      </w:r>
    </w:p>
    <w:tbl>
      <w:tblPr>
        <w:tblStyle w:val="11"/>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评分项</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评分因素</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w:t>
            </w:r>
          </w:p>
        </w:tc>
        <w:tc>
          <w:tcPr>
            <w:tcW w:w="421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价格部分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57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技术部分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产品响应情况</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可根据自身情况确定投标产品并制定相应《技术参数响应及明细表》。评标委员会根据《技术参数响应及明细表》响应情况进行打分，全部满足的得20分，一般参数负偏离一项扣2分，重点技术参数▲项负偏离一项扣4分，扣完为止。</w:t>
            </w:r>
          </w:p>
          <w:p>
            <w:pPr>
              <w:ind w:firstLine="422"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应如实填写所投产品的具体参数，如虚假应标，取消中标资格，限制五年内不得参加医院招投标。</w:t>
            </w:r>
            <w:r>
              <w:rPr>
                <w:rFonts w:hint="eastAsia" w:ascii="宋体" w:hAnsi="宋体" w:cs="宋体"/>
                <w:color w:val="000000" w:themeColor="text1"/>
                <w:szCs w:val="21"/>
                <w14:textFill>
                  <w14:solidFill>
                    <w14:schemeClr w14:val="tx1"/>
                  </w14:solidFill>
                </w14:textFill>
              </w:rPr>
              <w:t>如要求提供以下证明资料的，提供的证明资料与所填写内容不一致的，以证明资料为准，原件备查。</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1.产品彩页；</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2.说明书；</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3.厂家出具的参数文件；</w:t>
            </w:r>
          </w:p>
          <w:p>
            <w:pPr>
              <w:ind w:left="4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产品注册检验报告的全部内容复印件（此项必须提供，否则投标无效）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现场实物考评</w:t>
            </w: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投标产品质量和性能</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4216" w:type="dxa"/>
            <w:vAlign w:val="center"/>
          </w:tcPr>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根据所投样品符合下列5项要求：1、实物样品型号符合招标型号要求。 2、实物样品型号与微波治疗仪使用匹配。 3、实物样品完整包装符合灭菌院感要求。</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、品种齐全。</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、规格齐全。</w:t>
            </w:r>
            <w:r>
              <w:rPr>
                <w:rFonts w:hint="eastAsia" w:ascii="宋体" w:hAnsi="宋体" w:cs="宋体"/>
                <w:color w:val="000000" w:themeColor="text1"/>
                <w:szCs w:val="21"/>
                <w14:textFill>
                  <w14:solidFill>
                    <w14:schemeClr w14:val="tx1"/>
                  </w14:solidFill>
                </w14:textFill>
              </w:rPr>
              <w:t>由评审委员会评委对所投样品进行评价：</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优评审标准：提供样品，且满足以上全部评分要求的得22-30分；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良评审标准：提供样品，满足以上任意4项评分要求的得14-21分；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中评审标准：提供样品，满足以上任意3项评分要求的得6-13分；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差评审标准：提供样品，满足以上任意2项评分要求的得</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-5分；</w:t>
            </w:r>
          </w:p>
          <w:p>
            <w:pPr>
              <w:pStyle w:val="5"/>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p>
            <w:pPr>
              <w:jc w:val="center"/>
              <w:rPr>
                <w:rFonts w:ascii="宋体" w:hAnsi="宋体" w:cs="宋体"/>
                <w:color w:val="000000" w:themeColor="text1"/>
                <w:szCs w:val="21"/>
                <w14:textFill>
                  <w14:solidFill>
                    <w14:schemeClr w14:val="tx1"/>
                  </w14:solidFill>
                </w14:textFill>
              </w:rPr>
            </w:pPr>
          </w:p>
        </w:tc>
        <w:tc>
          <w:tcPr>
            <w:tcW w:w="1573"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因质量问题产品调换</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5分</w:t>
            </w:r>
          </w:p>
        </w:tc>
        <w:tc>
          <w:tcPr>
            <w:tcW w:w="4216" w:type="dxa"/>
            <w:vAlign w:val="center"/>
          </w:tcPr>
          <w:p>
            <w:pPr>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因质量问题产品可保证及时调换</w:t>
            </w:r>
            <w:r>
              <w:rPr>
                <w:rFonts w:hint="eastAsia" w:ascii="宋体" w:hAnsi="宋体" w:cs="宋体"/>
                <w:color w:val="000000" w:themeColor="text1"/>
                <w:szCs w:val="21"/>
                <w14:textFill>
                  <w14:solidFill>
                    <w14:schemeClr w14:val="tx1"/>
                  </w14:solidFill>
                </w14:textFill>
              </w:rPr>
              <w:t>得5分，不能提供不得分。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573"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微波治疗仪及消融针使用的培训及指导</w:t>
            </w:r>
          </w:p>
        </w:tc>
        <w:tc>
          <w:tcPr>
            <w:tcW w:w="7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可在手术室对</w:t>
            </w:r>
            <w:r>
              <w:rPr>
                <w:rFonts w:hint="eastAsia" w:ascii="宋体" w:hAnsi="宋体" w:cs="宋体"/>
                <w:b/>
                <w:bCs/>
                <w:color w:val="000000" w:themeColor="text1"/>
                <w:szCs w:val="21"/>
                <w14:textFill>
                  <w14:solidFill>
                    <w14:schemeClr w14:val="tx1"/>
                  </w14:solidFill>
                </w14:textFill>
              </w:rPr>
              <w:t>微波治疗仪及消融针使用充分完成培训及指导</w:t>
            </w:r>
            <w:r>
              <w:rPr>
                <w:rFonts w:hint="eastAsia" w:ascii="宋体" w:hAnsi="宋体" w:cs="宋体"/>
                <w:color w:val="000000" w:themeColor="text1"/>
                <w:szCs w:val="21"/>
                <w14:textFill>
                  <w14:solidFill>
                    <w14:schemeClr w14:val="tx1"/>
                  </w14:solidFill>
                </w14:textFill>
              </w:rPr>
              <w:t>得5分，不够充分得3分，其余不得分。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573"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市场承认度</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提供同类项目的发票或合同证明，复印件需加盖公章，同一家医院提供的多个发票或合同证明不作重复计算。</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21"/>
                <w:rFonts w:hint="eastAsia" w:ascii="宋体" w:hAnsi="宋体" w:cs="宋体"/>
                <w:color w:val="000000" w:themeColor="text1"/>
                <w:szCs w:val="21"/>
                <w14:textFill>
                  <w14:solidFill>
                    <w14:schemeClr w14:val="tx1"/>
                  </w14:solidFill>
                </w14:textFill>
              </w:rPr>
              <w:t>http://zgcx.nhc.gov.cn:9090/unit）</w:t>
            </w:r>
            <w:r>
              <w:rPr>
                <w:rStyle w:val="21"/>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不提供截图证明材料的视为医院客户为非“三级”医院客户，该项目不得分。</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“三级”医院使用情况（近两年内）：</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每提供一家“三级”医院客户证明材料的，得1分，最高得5分，不提供不得分。</w:t>
            </w:r>
          </w:p>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深圳阳光平台目录内产品（5分）</w:t>
            </w: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产品在深圳阳光平台目录内</w:t>
            </w:r>
          </w:p>
        </w:tc>
        <w:tc>
          <w:tcPr>
            <w:tcW w:w="7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提供产品在深圳阳光平台目录内的截图作为证明资料得5分，不提供截图视为不在深圳阳光平台目录内，该项不得分。</w:t>
            </w:r>
          </w:p>
        </w:tc>
      </w:tr>
    </w:tbl>
    <w:p>
      <w:pPr>
        <w:tabs>
          <w:tab w:val="left" w:pos="1260"/>
        </w:tabs>
        <w:spacing w:line="400" w:lineRule="exact"/>
        <w:rPr>
          <w:rFonts w:ascii="宋体" w:hAnsi="宋体" w:cs="宋体"/>
          <w:bCs/>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5</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zMDI5OWY4NDMyZWFkOGZjNGIzNDIwNGI3NmNhNjMifQ=="/>
  </w:docVars>
  <w:rsids>
    <w:rsidRoot w:val="00CD31DF"/>
    <w:rsid w:val="000065FE"/>
    <w:rsid w:val="00016102"/>
    <w:rsid w:val="000555F2"/>
    <w:rsid w:val="000A07FA"/>
    <w:rsid w:val="00111B86"/>
    <w:rsid w:val="0012548C"/>
    <w:rsid w:val="00160867"/>
    <w:rsid w:val="00161841"/>
    <w:rsid w:val="001A4F17"/>
    <w:rsid w:val="00210CBC"/>
    <w:rsid w:val="00232445"/>
    <w:rsid w:val="00241CE9"/>
    <w:rsid w:val="00274D57"/>
    <w:rsid w:val="002B12F3"/>
    <w:rsid w:val="003B0457"/>
    <w:rsid w:val="003D584C"/>
    <w:rsid w:val="004A11AB"/>
    <w:rsid w:val="004C208F"/>
    <w:rsid w:val="0056780A"/>
    <w:rsid w:val="005E1CA6"/>
    <w:rsid w:val="006E4BC7"/>
    <w:rsid w:val="007D0B26"/>
    <w:rsid w:val="00820CA7"/>
    <w:rsid w:val="00827508"/>
    <w:rsid w:val="008334CF"/>
    <w:rsid w:val="00935BEA"/>
    <w:rsid w:val="00974A82"/>
    <w:rsid w:val="0099549B"/>
    <w:rsid w:val="009A36CC"/>
    <w:rsid w:val="00AE3021"/>
    <w:rsid w:val="00B63480"/>
    <w:rsid w:val="00B90185"/>
    <w:rsid w:val="00B918B7"/>
    <w:rsid w:val="00BC3B82"/>
    <w:rsid w:val="00C70BBC"/>
    <w:rsid w:val="00CC7157"/>
    <w:rsid w:val="00CD31DF"/>
    <w:rsid w:val="00CF104A"/>
    <w:rsid w:val="00D13CF9"/>
    <w:rsid w:val="00D27A34"/>
    <w:rsid w:val="00D4406C"/>
    <w:rsid w:val="00D86D69"/>
    <w:rsid w:val="00D92B2E"/>
    <w:rsid w:val="00E16458"/>
    <w:rsid w:val="00E6037D"/>
    <w:rsid w:val="00E716A4"/>
    <w:rsid w:val="00E87C17"/>
    <w:rsid w:val="00F65C34"/>
    <w:rsid w:val="00F7639B"/>
    <w:rsid w:val="00F80464"/>
    <w:rsid w:val="00FA1A96"/>
    <w:rsid w:val="023B52CB"/>
    <w:rsid w:val="0C6A4313"/>
    <w:rsid w:val="1B3577EB"/>
    <w:rsid w:val="1C9C2558"/>
    <w:rsid w:val="229A6CB1"/>
    <w:rsid w:val="23895157"/>
    <w:rsid w:val="30E10DDC"/>
    <w:rsid w:val="47150D60"/>
    <w:rsid w:val="4BCA036B"/>
    <w:rsid w:val="4F964AD7"/>
    <w:rsid w:val="55DF1E6D"/>
    <w:rsid w:val="59D86CEF"/>
    <w:rsid w:val="640A71A1"/>
    <w:rsid w:val="70FA2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qFormat/>
    <w:uiPriority w:val="9"/>
    <w:pPr>
      <w:adjustRightInd w:val="0"/>
      <w:jc w:val="center"/>
      <w:textAlignment w:val="baseline"/>
      <w:outlineLvl w:val="1"/>
    </w:pPr>
    <w:rPr>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6">
    <w:name w:val="Body Text"/>
    <w:basedOn w:val="1"/>
    <w:next w:val="1"/>
    <w:qFormat/>
    <w:uiPriority w:val="0"/>
    <w:pPr>
      <w:spacing w:line="360" w:lineRule="auto"/>
    </w:pPr>
    <w:rPr>
      <w:b/>
      <w:bCs/>
      <w:sz w:val="24"/>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Medium Grid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4">
    <w:name w:val="Medium Grid 3 Accent 1"/>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5">
    <w:name w:val="Medium Grid 3 Accent 2"/>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6">
    <w:name w:val="Medium Grid 3 Accent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7">
    <w:name w:val="Medium Grid 3 Accent 4"/>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8">
    <w:name w:val="Medium Grid 3 Accent 5"/>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9">
    <w:name w:val="Medium Grid 3 Accent 6"/>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customStyle="1" w:styleId="23">
    <w:name w:val="批注框文本 字符"/>
    <w:basedOn w:val="20"/>
    <w:link w:val="7"/>
    <w:qFormat/>
    <w:uiPriority w:val="0"/>
    <w:rPr>
      <w:kern w:val="2"/>
      <w:sz w:val="18"/>
      <w:szCs w:val="18"/>
    </w:rPr>
  </w:style>
  <w:style w:type="character" w:customStyle="1" w:styleId="24">
    <w:name w:val="页眉 字符"/>
    <w:basedOn w:val="20"/>
    <w:link w:val="9"/>
    <w:qFormat/>
    <w:uiPriority w:val="0"/>
    <w:rPr>
      <w:kern w:val="2"/>
      <w:sz w:val="18"/>
      <w:szCs w:val="18"/>
    </w:rPr>
  </w:style>
  <w:style w:type="paragraph" w:styleId="25">
    <w:name w:val="List Paragraph"/>
    <w:basedOn w:val="1"/>
    <w:qFormat/>
    <w:uiPriority w:val="99"/>
    <w:pPr>
      <w:ind w:firstLine="420" w:firstLineChars="200"/>
    </w:pPr>
  </w:style>
  <w:style w:type="paragraph" w:customStyle="1" w:styleId="26">
    <w:name w:val="_Style 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3874</Words>
  <Characters>4031</Characters>
  <Lines>31</Lines>
  <Paragraphs>8</Paragraphs>
  <TotalTime>2</TotalTime>
  <ScaleCrop>false</ScaleCrop>
  <LinksUpToDate>false</LinksUpToDate>
  <CharactersWithSpaces>4051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2022-07-16T13:26:00Z</dcterms:created>
  <dc:creator>Administrator</dc:creator>
  <cp:lastModifiedBy>TIGER</cp:lastModifiedBy>
  <dcterms:modified xsi:type="dcterms:W3CDTF">2022-07-26T06:29:33Z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79CF38BAC6BB4D07A402A7FB7E3996A2</vt:lpwstr>
  </property>
  <property fmtid="{D5CDD505-2E9C-101B-9397-08002B2CF9AE}" pid="4" name="commondata">
    <vt:lpwstr>eyJoZGlkIjoiNWU4YmNhNTk5YTcxYjEwMjM0OGUwMjY2ZjRlNzI2MGQifQ==</vt:lpwstr>
  </property>
</Properties>
</file>