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南方科技大学医院2022年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端午节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慰问物资线上扶贫采购项目招标要求</w:t>
      </w: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/>
        <w:jc w:val="both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为切实做好《政府采购脱贫地区农副产品》文件相关工作，确保消费帮扶工作受益到扶贫当地，助力乡村振兴，推进共同富裕，及更好地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端午节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慰问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增强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员工关爱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工会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对在职在岗工会会员职工进行节日慰问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采购内容及相关要求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南方科技大学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医院2022年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端午节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慰问物资线上扶贫采购项目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2.预算金额：500元/人（数量预计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50人，按实际采购发生额结算）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3.采购周期：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一个月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1.参加投标的单位必须是来自中华人民共和国境内的独立法人,且具有按招标文件要求承担项目规定的相关服务能力。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2.参加投标的单位具有良好的资金、财务状况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3.参加投标的单位在南方科技大学医院无不良记录。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/>
        <w:jc w:val="both"/>
        <w:outlineLvl w:val="9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Hans"/>
        </w:rPr>
        <w:t>.本项目须提供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eastAsia="zh-Hans"/>
        </w:rPr>
        <w:t>832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Hans"/>
        </w:rPr>
        <w:t>平台商家授权书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注：原件备查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四、服务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须确保所供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产品符合国家相关规定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有损坏免费及时更换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若存在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损坏或物品数量有差异的，需在三个工作日内完成退换货；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若存在产品伪劣且价格不实，须以一赔十。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2.投标人须确保所供产品出自于扶贫当地。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须指定专人负责，全力配合开展工作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及处理售后服务工作。</w:t>
      </w:r>
    </w:p>
    <w:p>
      <w:pPr>
        <w:ind w:firstLine="640"/>
        <w:rPr>
          <w:rFonts w:hint="default" w:eastAsia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4.投标人须按采购人要求在指定平台（832平台）提供选购方案，包括但不限于套餐方案（不低于5种）、报价、产品种类、产品所在832平台的店铺、产品售价、产品链接、配送范围、及售后服务等内容。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在扶贫平台完成采购后，投标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人须保证能将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数据信息录入到相关消费帮扶监测平台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如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832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扶贫采购平台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圳帮扶数据监测平台等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完成消费帮扶的数据上报。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1.合同签订后，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方按照合同规定物品的数量、规格在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采购人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指定时间内完成配送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采购人完成采购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后，由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方开具合格的增值税普通发票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，采购人在收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到发票后的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个工作日内完成付款。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3.投标报价需含税、含运费。</w:t>
      </w:r>
    </w:p>
    <w:p>
      <w:pPr>
        <w:pStyle w:val="2"/>
        <w:ind w:firstLine="64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4.本次项目可多方形式签订采购合同。注：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为确保支持乡村振兴采购数据满足国家832平台要求，支持国家832平台上供应商直接参与本次投标，或供应商与832平台联合投标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六、报价方式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以返利形式报价：购物满5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元可抵     元购买（报价必须不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低于500元）。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评标办法：本项目采用综合评分法评标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right="0"/>
        <w:textAlignment w:val="auto"/>
        <w:rPr>
          <w:rFonts w:hint="default"/>
          <w:lang w:val="en-US" w:eastAsia="zh-CN"/>
        </w:rPr>
      </w:pPr>
    </w:p>
    <w:tbl>
      <w:tblPr>
        <w:tblStyle w:val="5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160"/>
        <w:gridCol w:w="564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主评项目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分项名称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评价内容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default"/>
                <w:vertAlign w:val="baseline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（占总分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eastAsia="zh-CN"/>
              </w:rPr>
              <w:t>0</w:t>
            </w:r>
            <w:r>
              <w:rPr>
                <w:rFonts w:hint="default"/>
                <w:vertAlign w:val="baseline"/>
                <w:lang w:val="en-US" w:eastAsia="zh-CN"/>
              </w:rPr>
              <w:t>%）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价</w:t>
            </w:r>
            <w:r>
              <w:rPr>
                <w:rFonts w:hint="default"/>
                <w:lang w:val="en-US" w:eastAsia="zh-Hans"/>
              </w:rPr>
              <w:t>格分统一采用返利优先法计算，即满足采购文件要求且投标报价最高（返利最多）的有效报价为评标基准价，其价格分为满分30分。其他投标人的价格分统一按照下列公式计算：投标报价得分=〔(投标报价-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default"/>
                <w:lang w:val="en-US" w:eastAsia="zh-Hans"/>
              </w:rPr>
              <w:t>）／（评标基准价-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default"/>
                <w:lang w:val="en-US" w:eastAsia="zh-Hans"/>
              </w:rPr>
              <w:t>)〕×30分。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注：要求投标方按最优惠价格的基础上返利，否则按无效投标处理。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（占总分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  <w:lang w:val="en-US" w:eastAsia="zh-CN"/>
              </w:rPr>
              <w:t>%）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扶贫资质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投标人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default"/>
                <w:lang w:val="en-US" w:eastAsia="zh-CN"/>
              </w:rPr>
              <w:t>国务院扶贫办消费扶贫专区企业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满足</w:t>
            </w:r>
            <w:r>
              <w:rPr>
                <w:rFonts w:hint="eastAsia"/>
                <w:lang w:val="en-US" w:eastAsia="zh-Hans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val="en-US" w:eastAsia="zh-Hans"/>
              </w:rPr>
              <w:t>分</w:t>
            </w:r>
            <w:r>
              <w:rPr>
                <w:rFonts w:hint="eastAsia"/>
                <w:lang w:val="en-US" w:eastAsia="zh-CN"/>
              </w:rPr>
              <w:t>，不满足不得分。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.具有832平台供应商授权资质，满足得5分，不满足不得分。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3.提供10家以上832平台供应商，满足得5分，6-10家，得3分，1-5家，得1分。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投标人须提供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相关证明材料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不提供或不能有效证明的，不得分。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同类业绩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投标人自201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年1月1日至投标截止时间前完成的</w:t>
            </w:r>
            <w:r>
              <w:rPr>
                <w:rFonts w:hint="eastAsia"/>
                <w:lang w:val="en-US" w:eastAsia="zh-Hans"/>
              </w:rPr>
              <w:t>与</w:t>
            </w:r>
            <w:r>
              <w:rPr>
                <w:rFonts w:hint="eastAsia"/>
                <w:lang w:val="en-US" w:eastAsia="zh-CN"/>
              </w:rPr>
              <w:t>深圳市范围内机关事业</w:t>
            </w:r>
            <w:r>
              <w:rPr>
                <w:rFonts w:hint="eastAsia"/>
                <w:lang w:val="en-US" w:eastAsia="zh-Hans"/>
              </w:rPr>
              <w:t>单位扶贫合作</w:t>
            </w:r>
            <w:r>
              <w:rPr>
                <w:rFonts w:hint="eastAsia"/>
              </w:rPr>
              <w:t>业绩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单次项目额度达到50万元及以上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，每项业绩得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分；满分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投标人须提供项目合同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不提供或不能有效证明的，不得分。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</w:t>
            </w:r>
            <w:r>
              <w:rPr>
                <w:rFonts w:hint="default"/>
                <w:vertAlign w:val="baseline"/>
                <w:lang w:val="en-US" w:eastAsia="zh-CN"/>
              </w:rPr>
              <w:t>技术</w:t>
            </w:r>
            <w:r>
              <w:rPr>
                <w:rFonts w:hint="eastAsia"/>
                <w:vertAlign w:val="baseline"/>
                <w:lang w:val="en-US" w:eastAsia="zh-CN"/>
              </w:rPr>
              <w:t>与服务</w:t>
            </w:r>
            <w:r>
              <w:rPr>
                <w:rFonts w:hint="default"/>
                <w:vertAlign w:val="baseline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（占总分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%）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投标产品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根据产品丰富度、多样化种类，需包含米面粮油、水果、</w:t>
            </w:r>
            <w:r>
              <w:rPr>
                <w:rFonts w:hint="eastAsia"/>
                <w:vertAlign w:val="baseline"/>
                <w:lang w:val="en-US" w:eastAsia="zh-Hans"/>
              </w:rPr>
              <w:t>干货坚果</w:t>
            </w:r>
            <w:r>
              <w:rPr>
                <w:rFonts w:hint="default"/>
                <w:vertAlign w:val="baseline"/>
                <w:lang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休闲零食、水产肉禽、乳品、日化用品等，</w:t>
            </w:r>
            <w:r>
              <w:rPr>
                <w:rFonts w:hint="default"/>
                <w:vertAlign w:val="baseline"/>
                <w:lang w:val="en-US" w:eastAsia="zh-CN"/>
              </w:rPr>
              <w:t>评审专家对比后打分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服务资质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1.是否可提供员工自主选择单品模式，满足得5分，不满足不得分。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/>
                <w:szCs w:val="21"/>
                <w:lang w:eastAsia="zh-Han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2.是否有提供本项目资质</w:t>
            </w:r>
            <w:r>
              <w:rPr>
                <w:rFonts w:hint="eastAsia"/>
                <w:color w:val="auto"/>
                <w:szCs w:val="21"/>
              </w:rPr>
              <w:t>，须提供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相关证明材料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满足</w:t>
            </w:r>
            <w:r>
              <w:rPr>
                <w:rFonts w:hint="eastAsia"/>
                <w:lang w:val="en-US" w:eastAsia="zh-Hans"/>
              </w:rPr>
              <w:t>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Hans"/>
              </w:rPr>
              <w:t>分</w:t>
            </w:r>
            <w:r>
              <w:rPr>
                <w:rFonts w:hint="eastAsia"/>
                <w:lang w:val="en-US" w:eastAsia="zh-CN"/>
              </w:rPr>
              <w:t>，不满足不得分。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  <w:lang w:val="en-US" w:eastAsia="zh-Hans"/>
              </w:rPr>
              <w:t>提供信息系统安全等级保护备案证明，</w:t>
            </w:r>
            <w:r>
              <w:rPr>
                <w:rFonts w:hint="eastAsia"/>
                <w:szCs w:val="21"/>
                <w:lang w:val="en-US" w:eastAsia="zh-CN"/>
              </w:rPr>
              <w:t>达到</w:t>
            </w:r>
            <w:r>
              <w:rPr>
                <w:rFonts w:hint="eastAsia"/>
                <w:szCs w:val="21"/>
                <w:lang w:val="en-US" w:eastAsia="zh-Hans"/>
              </w:rPr>
              <w:t>三级</w:t>
            </w:r>
            <w:r>
              <w:rPr>
                <w:rFonts w:hint="eastAsia"/>
                <w:szCs w:val="21"/>
                <w:lang w:val="en-US" w:eastAsia="zh-CN"/>
              </w:rPr>
              <w:t>及以上，</w:t>
            </w:r>
            <w:r>
              <w:rPr>
                <w:rFonts w:hint="eastAsia"/>
                <w:szCs w:val="21"/>
                <w:lang w:val="en-US" w:eastAsia="zh-Hans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分</w:t>
            </w:r>
            <w:r>
              <w:rPr>
                <w:rFonts w:hint="eastAsia"/>
                <w:szCs w:val="21"/>
                <w:lang w:val="en-US" w:eastAsia="zh-CN"/>
              </w:rPr>
              <w:t>，未达到不得分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  <w:lang w:val="en-US" w:eastAsia="zh-Hans"/>
              </w:rPr>
              <w:t>提供网络安全等级保护等级测评，</w:t>
            </w:r>
            <w:r>
              <w:rPr>
                <w:rFonts w:hint="eastAsia"/>
                <w:szCs w:val="21"/>
                <w:lang w:val="en-US" w:eastAsia="zh-CN"/>
              </w:rPr>
              <w:t>达到二</w:t>
            </w:r>
            <w:r>
              <w:rPr>
                <w:rFonts w:hint="eastAsia"/>
                <w:szCs w:val="21"/>
                <w:lang w:val="en-US" w:eastAsia="zh-Hans"/>
              </w:rPr>
              <w:t>级</w:t>
            </w:r>
            <w:r>
              <w:rPr>
                <w:rFonts w:hint="eastAsia"/>
                <w:szCs w:val="21"/>
                <w:lang w:val="en-US" w:eastAsia="zh-CN"/>
              </w:rPr>
              <w:t>及以上，</w:t>
            </w:r>
            <w:r>
              <w:rPr>
                <w:rFonts w:hint="eastAsia"/>
                <w:szCs w:val="21"/>
                <w:lang w:val="en-US" w:eastAsia="zh-Hans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分</w:t>
            </w:r>
            <w:r>
              <w:rPr>
                <w:rFonts w:hint="eastAsia"/>
                <w:szCs w:val="21"/>
                <w:lang w:val="en-US" w:eastAsia="zh-CN"/>
              </w:rPr>
              <w:t>，未达到不得分。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eastAsia="宋体"/>
                <w:vertAlign w:val="baseline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平台为本公司经营，且证明员工个人信息安全可以得到有效保障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得1分</w:t>
            </w:r>
            <w:r>
              <w:rPr>
                <w:rFonts w:hint="eastAsia" w:ascii="宋体" w:hAnsi="宋体" w:cs="宋体"/>
                <w:szCs w:val="21"/>
              </w:rPr>
              <w:t>投标人须提供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相关证明材料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不提供或不能有效证明的，不得分。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质量管控保证及具备监督配送服务能力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具备完善的质量管控制度</w:t>
            </w:r>
            <w:r>
              <w:rPr>
                <w:rFonts w:hint="eastAsia"/>
                <w:szCs w:val="21"/>
                <w:lang w:val="en-US" w:eastAsia="zh-CN"/>
              </w:rPr>
              <w:t>且具备监督配送服务能力</w:t>
            </w:r>
            <w:r>
              <w:rPr>
                <w:rFonts w:hint="eastAsia"/>
                <w:szCs w:val="21"/>
              </w:rPr>
              <w:t>；满足得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分</w:t>
            </w:r>
            <w:r>
              <w:rPr>
                <w:rFonts w:hint="eastAsia"/>
                <w:szCs w:val="21"/>
              </w:rPr>
              <w:t>，否则不得分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售后服务</w:t>
            </w:r>
            <w:r>
              <w:rPr>
                <w:rFonts w:hint="eastAsia"/>
                <w:vertAlign w:val="baseline"/>
                <w:lang w:val="en-US" w:eastAsia="zh-Hans"/>
              </w:rPr>
              <w:t>团队</w:t>
            </w:r>
            <w:r>
              <w:rPr>
                <w:rFonts w:hint="default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客服团队人数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eastAsia="zh-Hans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人</w:t>
            </w:r>
            <w:r>
              <w:rPr>
                <w:rFonts w:hint="eastAsia"/>
                <w:vertAlign w:val="baseline"/>
                <w:lang w:val="en-US" w:eastAsia="zh-CN"/>
              </w:rPr>
              <w:t>（含本数）</w:t>
            </w:r>
            <w:r>
              <w:rPr>
                <w:rFonts w:hint="eastAsia"/>
                <w:vertAlign w:val="baseline"/>
                <w:lang w:val="en-US" w:eastAsia="zh-Hans"/>
              </w:rPr>
              <w:t>以上得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Hans"/>
              </w:rPr>
              <w:t>分</w:t>
            </w:r>
            <w:r>
              <w:rPr>
                <w:rFonts w:hint="default"/>
                <w:vertAlign w:val="baseline"/>
                <w:lang w:eastAsia="zh-Hans"/>
              </w:rPr>
              <w:t>，10-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eastAsia="zh-Hans"/>
              </w:rPr>
              <w:t>0</w:t>
            </w:r>
            <w:r>
              <w:rPr>
                <w:rFonts w:hint="eastAsia"/>
                <w:vertAlign w:val="baseline"/>
                <w:lang w:val="en-US" w:eastAsia="zh-Hans"/>
              </w:rPr>
              <w:t>人得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分</w:t>
            </w:r>
            <w:r>
              <w:rPr>
                <w:rFonts w:hint="default"/>
                <w:vertAlign w:val="baseline"/>
                <w:lang w:eastAsia="zh-Hans"/>
              </w:rPr>
              <w:t>，10</w:t>
            </w:r>
            <w:r>
              <w:rPr>
                <w:rFonts w:hint="eastAsia"/>
                <w:vertAlign w:val="baseline"/>
                <w:lang w:val="en-US" w:eastAsia="zh-Hans"/>
              </w:rPr>
              <w:t>人以下不得分</w:t>
            </w:r>
            <w:r>
              <w:rPr>
                <w:rFonts w:hint="default"/>
                <w:vertAlign w:val="baseline"/>
                <w:lang w:eastAsia="zh-Hans"/>
              </w:rPr>
              <w:t>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售后处理时效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val="en-US" w:eastAsia="zh-Hans"/>
              </w:rPr>
              <w:t>承诺提供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val="zh-TW" w:eastAsia="zh-TW"/>
              </w:rPr>
              <w:t>24小时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val="en-US" w:eastAsia="zh-Hans"/>
              </w:rPr>
              <w:t>专属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val="zh-TW" w:eastAsia="zh-TW"/>
              </w:rPr>
              <w:t>客服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val="en-US" w:eastAsia="zh-Hans"/>
              </w:rPr>
              <w:t>热线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shd w:val="clear" w:color="auto" w:fill="FFFFFF"/>
                <w:lang w:eastAsia="zh-Hans"/>
              </w:rPr>
              <w:t>，</w:t>
            </w:r>
            <w:r>
              <w:rPr>
                <w:rFonts w:hint="default"/>
                <w:lang w:val="en-US" w:eastAsia="zh-CN"/>
              </w:rPr>
              <w:t>无实物退货退款和补发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30分钟内</w:t>
            </w:r>
            <w:r>
              <w:rPr>
                <w:rFonts w:hint="eastAsia"/>
                <w:lang w:val="en-US" w:eastAsia="zh-Hans"/>
              </w:rPr>
              <w:t>响应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满足得</w:t>
            </w:r>
            <w:r>
              <w:rPr>
                <w:rFonts w:hint="default"/>
                <w:lang w:eastAsia="zh-Hans"/>
              </w:rPr>
              <w:t>5</w:t>
            </w:r>
            <w:r>
              <w:rPr>
                <w:rFonts w:hint="eastAsia"/>
                <w:lang w:val="en-US" w:eastAsia="zh-Hans"/>
              </w:rPr>
              <w:t>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否则不得分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针对本项目特点编制具体</w:t>
            </w:r>
            <w:r>
              <w:rPr>
                <w:rFonts w:hint="eastAsia"/>
                <w:szCs w:val="21"/>
                <w:lang w:val="en-US" w:eastAsia="zh-Hans"/>
              </w:rPr>
              <w:t>服务</w:t>
            </w:r>
            <w:r>
              <w:rPr>
                <w:rFonts w:hint="eastAsia"/>
                <w:szCs w:val="21"/>
              </w:rPr>
              <w:t>方案</w:t>
            </w:r>
            <w:r>
              <w:rPr>
                <w:rFonts w:hint="eastAsia"/>
                <w:szCs w:val="21"/>
                <w:lang w:val="en-US" w:eastAsia="zh-Hans"/>
              </w:rPr>
              <w:t>得实施</w:t>
            </w:r>
            <w:r>
              <w:rPr>
                <w:rFonts w:hint="eastAsia"/>
                <w:szCs w:val="21"/>
              </w:rPr>
              <w:t>；人员分工明确，职责清晰，运作流程流畅完善、现场管理方案专业、高效</w:t>
            </w:r>
            <w:r>
              <w:rPr>
                <w:rFonts w:hint="default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Hans"/>
              </w:rPr>
              <w:t>满足得</w:t>
            </w:r>
            <w:r>
              <w:rPr>
                <w:rFonts w:hint="default"/>
                <w:szCs w:val="21"/>
                <w:lang w:eastAsia="zh-Hans"/>
              </w:rPr>
              <w:t>5</w:t>
            </w:r>
            <w:r>
              <w:rPr>
                <w:rFonts w:hint="eastAsia"/>
                <w:szCs w:val="21"/>
                <w:lang w:val="en-US" w:eastAsia="zh-Hans"/>
              </w:rPr>
              <w:t>分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</w:rPr>
              <w:t>否则不得分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 w:right="0" w:rightChars="0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30BBE"/>
    <w:multiLevelType w:val="singleLevel"/>
    <w:tmpl w:val="19A30BB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000000"/>
    <w:rsid w:val="00BC757B"/>
    <w:rsid w:val="04D864EA"/>
    <w:rsid w:val="05047762"/>
    <w:rsid w:val="05577D7A"/>
    <w:rsid w:val="09D2308C"/>
    <w:rsid w:val="0A977412"/>
    <w:rsid w:val="0C023E4A"/>
    <w:rsid w:val="10B2162A"/>
    <w:rsid w:val="112841F4"/>
    <w:rsid w:val="116726E4"/>
    <w:rsid w:val="123F1DBA"/>
    <w:rsid w:val="147B5FDF"/>
    <w:rsid w:val="14961874"/>
    <w:rsid w:val="15D05B4B"/>
    <w:rsid w:val="17900ED4"/>
    <w:rsid w:val="1DD632C8"/>
    <w:rsid w:val="1EFF017E"/>
    <w:rsid w:val="1F871BBD"/>
    <w:rsid w:val="21193E13"/>
    <w:rsid w:val="23BD4AE4"/>
    <w:rsid w:val="26633175"/>
    <w:rsid w:val="2A6A3509"/>
    <w:rsid w:val="2B3D2279"/>
    <w:rsid w:val="33425991"/>
    <w:rsid w:val="35373F2C"/>
    <w:rsid w:val="37A04F0D"/>
    <w:rsid w:val="3AF53861"/>
    <w:rsid w:val="3C4B3CD7"/>
    <w:rsid w:val="40323A4F"/>
    <w:rsid w:val="418C383B"/>
    <w:rsid w:val="433434CC"/>
    <w:rsid w:val="437F6B26"/>
    <w:rsid w:val="44C71056"/>
    <w:rsid w:val="479E77BF"/>
    <w:rsid w:val="49487F1F"/>
    <w:rsid w:val="4A0F142B"/>
    <w:rsid w:val="4C7D6B9F"/>
    <w:rsid w:val="4CD82A7A"/>
    <w:rsid w:val="4CF677B8"/>
    <w:rsid w:val="4F3C4036"/>
    <w:rsid w:val="4F6A01D5"/>
    <w:rsid w:val="4FC86546"/>
    <w:rsid w:val="50FA3002"/>
    <w:rsid w:val="51D13AD5"/>
    <w:rsid w:val="55CE6CAA"/>
    <w:rsid w:val="57BCBC9D"/>
    <w:rsid w:val="618E553F"/>
    <w:rsid w:val="62A445B0"/>
    <w:rsid w:val="643E458A"/>
    <w:rsid w:val="66236D43"/>
    <w:rsid w:val="68CA51AD"/>
    <w:rsid w:val="69ED65E0"/>
    <w:rsid w:val="6B3C70A0"/>
    <w:rsid w:val="6C6A7365"/>
    <w:rsid w:val="6D2D5603"/>
    <w:rsid w:val="6DF26F77"/>
    <w:rsid w:val="6F834209"/>
    <w:rsid w:val="70BB79D3"/>
    <w:rsid w:val="7247477F"/>
    <w:rsid w:val="73B72053"/>
    <w:rsid w:val="74520CF0"/>
    <w:rsid w:val="763A7A0D"/>
    <w:rsid w:val="775C441D"/>
    <w:rsid w:val="78E51A91"/>
    <w:rsid w:val="7A2D495B"/>
    <w:rsid w:val="7FA15AA5"/>
    <w:rsid w:val="7FF13420"/>
    <w:rsid w:val="FE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center"/>
      <w:textAlignment w:val="baseline"/>
    </w:pPr>
    <w:rPr>
      <w:rFonts w:ascii="宋体"/>
      <w:b/>
      <w:kern w:val="0"/>
      <w:sz w:val="72"/>
      <w:szCs w:val="20"/>
    </w:rPr>
  </w:style>
  <w:style w:type="paragraph" w:styleId="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next w:val="3"/>
    <w:qFormat/>
    <w:uiPriority w:val="0"/>
    <w:pPr>
      <w:widowControl w:val="0"/>
      <w:jc w:val="both"/>
    </w:pPr>
    <w:rPr>
      <w:rFonts w:ascii="Calibri" w:hAnsi="Calibri" w:eastAsiaTheme="minorHAnsi" w:cstheme="minorBidi"/>
      <w:kern w:val="2"/>
      <w:sz w:val="21"/>
      <w:szCs w:val="22"/>
      <w:lang w:val="en-US" w:eastAsia="zh-CN" w:bidi="ar-SA"/>
    </w:rPr>
  </w:style>
  <w:style w:type="paragraph" w:customStyle="1" w:styleId="8">
    <w:name w:val="正文正式"/>
    <w:basedOn w:val="1"/>
    <w:qFormat/>
    <w:uiPriority w:val="0"/>
    <w:pPr>
      <w:widowControl/>
      <w:spacing w:line="360" w:lineRule="auto"/>
      <w:ind w:left="280" w:right="280" w:firstLine="480" w:firstLineChars="200"/>
      <w:jc w:val="left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1789</Words>
  <Characters>1892</Characters>
  <Lines>0</Lines>
  <Paragraphs>0</Paragraphs>
  <TotalTime>2</TotalTime>
  <ScaleCrop>false</ScaleCrop>
  <LinksUpToDate>false</LinksUpToDate>
  <CharactersWithSpaces>1901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2022-01-11T10:44:00Z</dcterms:created>
  <dc:creator>PC</dc:creator>
  <cp:lastModifiedBy>TIGER</cp:lastModifiedBy>
  <cp:lastPrinted>2022-05-17T00:39:00Z</cp:lastPrinted>
  <dcterms:modified xsi:type="dcterms:W3CDTF">2022-05-18T03:01:30Z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ECACAA06092945DE8C039B2D8F08762E</vt:lpwstr>
  </property>
</Properties>
</file>