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hint="eastAsia" w:ascii="宋体" w:hAnsi="宋体" w:cs="宋体"/>
          <w:b/>
          <w:sz w:val="28"/>
          <w:szCs w:val="28"/>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lang w:val="en-US" w:eastAsia="zh-CN"/>
        </w:rPr>
        <w:t>微波消融治疗仪</w:t>
      </w:r>
      <w:r>
        <w:rPr>
          <w:rFonts w:hint="eastAsia" w:ascii="宋体" w:hAnsi="宋体" w:cs="宋体"/>
          <w:b/>
          <w:sz w:val="28"/>
          <w:szCs w:val="28"/>
        </w:rPr>
        <w:t>招标要求</w:t>
      </w:r>
      <w:bookmarkEnd w:id="1"/>
    </w:p>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2916"/>
        <w:gridCol w:w="1018"/>
        <w:gridCol w:w="993"/>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91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101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29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44"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p>
        </w:tc>
        <w:tc>
          <w:tcPr>
            <w:tcW w:w="2916"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微波消融治疗仪</w:t>
            </w:r>
          </w:p>
        </w:tc>
        <w:tc>
          <w:tcPr>
            <w:tcW w:w="1018"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p>
        </w:tc>
        <w:tc>
          <w:tcPr>
            <w:tcW w:w="993"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台</w:t>
            </w:r>
          </w:p>
        </w:tc>
        <w:tc>
          <w:tcPr>
            <w:tcW w:w="2292" w:type="dxa"/>
            <w:vAlign w:val="center"/>
          </w:tcPr>
          <w:p>
            <w:pPr>
              <w:jc w:val="center"/>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9.9</w:t>
            </w:r>
          </w:p>
        </w:tc>
      </w:tr>
    </w:tbl>
    <w:p>
      <w:pPr>
        <w:pStyle w:val="6"/>
        <w:spacing w:beforeLines="50" w:afterLines="50"/>
        <w:jc w:val="both"/>
        <w:rPr>
          <w:rFonts w:hint="eastAsia"/>
          <w:bCs w:val="0"/>
          <w:kern w:val="2"/>
          <w:szCs w:val="24"/>
        </w:rPr>
      </w:pPr>
    </w:p>
    <w:p>
      <w:pPr>
        <w:pStyle w:val="6"/>
        <w:spacing w:beforeLines="50" w:afterLines="50"/>
        <w:jc w:val="both"/>
        <w:rPr>
          <w:bCs w:val="0"/>
          <w:kern w:val="2"/>
          <w:szCs w:val="24"/>
        </w:rPr>
      </w:pPr>
      <w:r>
        <w:rPr>
          <w:rFonts w:hint="eastAsia"/>
          <w:bCs w:val="0"/>
          <w:kern w:val="2"/>
          <w:szCs w:val="24"/>
        </w:rPr>
        <w:t xml:space="preserve">三、具体技术要求  </w:t>
      </w:r>
    </w:p>
    <w:tbl>
      <w:tblPr>
        <w:tblStyle w:val="54"/>
        <w:tblW w:w="924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6249"/>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6249" w:type="dxa"/>
            <w:vAlign w:val="center"/>
          </w:tcPr>
          <w:p>
            <w:pPr>
              <w:jc w:val="center"/>
              <w:rPr>
                <w:rFonts w:ascii="宋体" w:hAnsi="宋体"/>
                <w:szCs w:val="21"/>
              </w:rPr>
            </w:pPr>
            <w:r>
              <w:rPr>
                <w:rFonts w:hint="eastAsia" w:ascii="宋体" w:hAnsi="宋体"/>
                <w:szCs w:val="21"/>
              </w:rPr>
              <w:t>招标技术要求</w:t>
            </w:r>
          </w:p>
        </w:tc>
        <w:tc>
          <w:tcPr>
            <w:tcW w:w="1045"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vAlign w:val="center"/>
          </w:tcPr>
          <w:p>
            <w:pPr>
              <w:widowControl/>
              <w:jc w:val="center"/>
              <w:rPr>
                <w:rFonts w:hint="eastAsia" w:ascii="宋体" w:hAnsi="宋体" w:eastAsia="宋体"/>
                <w:b/>
                <w:kern w:val="0"/>
                <w:szCs w:val="21"/>
                <w:lang w:val="en-US" w:eastAsia="zh-CN"/>
              </w:rPr>
            </w:pPr>
            <w:r>
              <w:rPr>
                <w:rFonts w:hint="eastAsia" w:ascii="宋体" w:hAnsi="宋体"/>
                <w:b/>
                <w:kern w:val="0"/>
                <w:szCs w:val="21"/>
                <w:lang w:val="en-US" w:eastAsia="zh-CN"/>
              </w:rPr>
              <w:t>1</w:t>
            </w:r>
          </w:p>
        </w:tc>
        <w:tc>
          <w:tcPr>
            <w:tcW w:w="1276" w:type="dxa"/>
            <w:vMerge w:val="restart"/>
            <w:vAlign w:val="center"/>
          </w:tcPr>
          <w:p>
            <w:pPr>
              <w:widowControl/>
              <w:jc w:val="center"/>
              <w:rPr>
                <w:rFonts w:hint="default" w:ascii="宋体" w:hAnsi="宋体" w:eastAsia="宋体"/>
                <w:kern w:val="0"/>
                <w:szCs w:val="21"/>
                <w:lang w:val="en-US" w:eastAsia="zh-CN"/>
              </w:rPr>
            </w:pPr>
            <w:r>
              <w:rPr>
                <w:rFonts w:hint="eastAsia"/>
                <w:b/>
                <w:bCs/>
                <w:color w:val="000000" w:themeColor="text1"/>
                <w:szCs w:val="21"/>
                <w:lang w:val="en-US" w:eastAsia="zh-CN"/>
                <w14:textFill>
                  <w14:solidFill>
                    <w14:schemeClr w14:val="tx1"/>
                  </w14:solidFill>
                </w14:textFill>
              </w:rPr>
              <w:t>微波消融治疗仪</w:t>
            </w:r>
          </w:p>
        </w:tc>
        <w:tc>
          <w:tcPr>
            <w:tcW w:w="6249" w:type="dxa"/>
            <w:vAlign w:val="top"/>
          </w:tcPr>
          <w:p>
            <w:pPr>
              <w:widowControl/>
              <w:jc w:val="left"/>
              <w:rPr>
                <w:rFonts w:hint="default" w:ascii="宋体" w:hAnsi="宋体" w:eastAsia="宋体" w:cs="宋体"/>
                <w:sz w:val="24"/>
                <w:szCs w:val="24"/>
                <w:lang w:val="en-US"/>
              </w:rPr>
            </w:pPr>
            <w:r>
              <w:rPr>
                <w:rFonts w:hint="eastAsia" w:ascii="宋体" w:hAnsi="宋体"/>
                <w:sz w:val="24"/>
                <w:lang w:val="en-US" w:eastAsia="zh-CN"/>
              </w:rPr>
              <w:t>1、</w:t>
            </w:r>
            <w:r>
              <w:rPr>
                <w:rFonts w:hint="eastAsia" w:ascii="宋体" w:hAnsi="宋体"/>
                <w:sz w:val="24"/>
              </w:rPr>
              <w:t>电源： 220V±10%</w:t>
            </w:r>
          </w:p>
        </w:tc>
        <w:tc>
          <w:tcPr>
            <w:tcW w:w="10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249" w:type="dxa"/>
            <w:vAlign w:val="top"/>
          </w:tcPr>
          <w:p>
            <w:pPr>
              <w:widowControl/>
              <w:jc w:val="left"/>
              <w:rPr>
                <w:rFonts w:hint="eastAsia" w:ascii="宋体" w:hAnsi="宋体" w:eastAsia="宋体" w:cs="宋体"/>
                <w:sz w:val="24"/>
                <w:szCs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微波工作频率：2450±50MHz</w:t>
            </w:r>
          </w:p>
        </w:tc>
        <w:tc>
          <w:tcPr>
            <w:tcW w:w="10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249" w:type="dxa"/>
            <w:vAlign w:val="top"/>
          </w:tcPr>
          <w:p>
            <w:pPr>
              <w:pStyle w:val="18"/>
              <w:rPr>
                <w:rFonts w:hint="eastAsia" w:ascii="宋体" w:hAnsi="宋体" w:eastAsia="宋体" w:cs="宋体"/>
                <w:kern w:val="2"/>
                <w:sz w:val="24"/>
                <w:szCs w:val="24"/>
                <w:lang w:val="en-US" w:eastAsia="zh-CN" w:bidi="ar-SA"/>
              </w:rPr>
            </w:pPr>
            <w:r>
              <w:rPr>
                <w:rFonts w:hint="eastAsia" w:hAnsi="宋体"/>
                <w:sz w:val="24"/>
                <w:lang w:val="en-US" w:eastAsia="zh-CN"/>
              </w:rPr>
              <w:t>3</w:t>
            </w:r>
            <w:r>
              <w:rPr>
                <w:rFonts w:hint="eastAsia" w:ascii="宋体" w:hAnsi="宋体"/>
                <w:sz w:val="24"/>
              </w:rPr>
              <w:t>微波工作方式：</w:t>
            </w:r>
            <w:r>
              <w:rPr>
                <w:rFonts w:hint="eastAsia" w:ascii="宋体" w:hAnsi="宋体" w:eastAsia="宋体" w:cs="Times New Roman"/>
                <w:kern w:val="2"/>
                <w:sz w:val="24"/>
                <w:szCs w:val="24"/>
                <w:lang w:val="en-US" w:eastAsia="zh-CN" w:bidi="ar-SA"/>
              </w:rPr>
              <w:t>包含连续波模式、脉冲波模式</w:t>
            </w:r>
          </w:p>
        </w:tc>
        <w:tc>
          <w:tcPr>
            <w:tcW w:w="10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249" w:type="dxa"/>
            <w:vAlign w:val="top"/>
          </w:tcPr>
          <w:p>
            <w:pPr>
              <w:widowControl/>
              <w:jc w:val="left"/>
              <w:rPr>
                <w:rFonts w:hint="eastAsia" w:ascii="宋体" w:hAnsi="宋体" w:eastAsia="宋体" w:cs="宋体"/>
                <w:kern w:val="2"/>
                <w:sz w:val="24"/>
                <w:szCs w:val="24"/>
                <w:lang w:val="en-US" w:eastAsia="zh-CN" w:bidi="ar-SA"/>
              </w:rPr>
            </w:pPr>
            <w:r>
              <w:rPr>
                <w:rFonts w:hint="eastAsia" w:ascii="宋体" w:hAnsi="宋体"/>
                <w:sz w:val="24"/>
              </w:rPr>
              <w:t>▲</w:t>
            </w:r>
            <w:r>
              <w:rPr>
                <w:rFonts w:hint="eastAsia" w:ascii="宋体" w:hAnsi="宋体"/>
                <w:sz w:val="24"/>
                <w:lang w:val="en-US" w:eastAsia="zh-CN"/>
              </w:rPr>
              <w:t>4、</w:t>
            </w:r>
            <w:r>
              <w:rPr>
                <w:rFonts w:hint="eastAsia" w:ascii="宋体" w:hAnsi="宋体"/>
                <w:sz w:val="24"/>
              </w:rPr>
              <w:t>微波源：2450MHz固态源（磁兼容）</w:t>
            </w:r>
          </w:p>
        </w:tc>
        <w:tc>
          <w:tcPr>
            <w:tcW w:w="10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249" w:type="dxa"/>
            <w:vAlign w:val="top"/>
          </w:tcPr>
          <w:p>
            <w:pPr>
              <w:widowControl/>
              <w:jc w:val="left"/>
              <w:rPr>
                <w:rFonts w:hint="eastAsia" w:ascii="宋体" w:hAnsi="宋体" w:eastAsia="宋体" w:cs="宋体"/>
                <w:kern w:val="2"/>
                <w:sz w:val="24"/>
                <w:szCs w:val="24"/>
                <w:lang w:val="en-US" w:eastAsia="zh-CN" w:bidi="ar-SA"/>
              </w:rPr>
            </w:pPr>
            <w:r>
              <w:rPr>
                <w:rFonts w:hint="eastAsia" w:ascii="宋体" w:hAnsi="宋体"/>
                <w:sz w:val="24"/>
              </w:rPr>
              <w:t>▲</w:t>
            </w:r>
            <w:r>
              <w:rPr>
                <w:rFonts w:hint="eastAsia" w:ascii="宋体" w:hAnsi="宋体"/>
                <w:sz w:val="24"/>
                <w:lang w:val="en-US" w:eastAsia="zh-CN"/>
              </w:rPr>
              <w:t>5、</w:t>
            </w:r>
            <w:r>
              <w:rPr>
                <w:rFonts w:hint="eastAsia" w:ascii="宋体" w:hAnsi="宋体"/>
                <w:sz w:val="24"/>
              </w:rPr>
              <w:t>微波发射方式：高效水冷偶极子</w:t>
            </w:r>
            <w:r>
              <w:rPr>
                <w:rFonts w:hint="eastAsia" w:ascii="宋体" w:hAnsi="宋体"/>
                <w:sz w:val="24"/>
                <w:lang w:eastAsia="zh-CN"/>
              </w:rPr>
              <w:t>，</w:t>
            </w:r>
            <w:r>
              <w:rPr>
                <w:rFonts w:hint="eastAsia" w:ascii="宋体" w:hAnsi="宋体"/>
                <w:sz w:val="24"/>
                <w:lang w:val="en-US" w:eastAsia="zh-CN"/>
              </w:rPr>
              <w:t>可匹配最细达19G微波消融针</w:t>
            </w:r>
          </w:p>
        </w:tc>
        <w:tc>
          <w:tcPr>
            <w:tcW w:w="10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1" w:type="dxa"/>
            <w:vMerge w:val="continue"/>
            <w:vAlign w:val="center"/>
          </w:tcPr>
          <w:p>
            <w:pPr>
              <w:widowControl/>
              <w:jc w:val="center"/>
              <w:rPr>
                <w:rFonts w:ascii="宋体" w:hAnsi="宋体"/>
                <w:b/>
                <w:kern w:val="0"/>
                <w:szCs w:val="21"/>
              </w:rPr>
            </w:pPr>
          </w:p>
        </w:tc>
        <w:tc>
          <w:tcPr>
            <w:tcW w:w="1276" w:type="dxa"/>
            <w:vMerge w:val="continue"/>
            <w:vAlign w:val="center"/>
          </w:tcPr>
          <w:p>
            <w:pPr>
              <w:widowControl/>
              <w:jc w:val="center"/>
              <w:rPr>
                <w:rFonts w:ascii="宋体" w:hAnsi="宋体"/>
                <w:kern w:val="0"/>
                <w:szCs w:val="21"/>
              </w:rPr>
            </w:pPr>
          </w:p>
        </w:tc>
        <w:tc>
          <w:tcPr>
            <w:tcW w:w="6249" w:type="dxa"/>
            <w:vAlign w:val="top"/>
          </w:tcPr>
          <w:p>
            <w:pPr>
              <w:widowControl/>
              <w:jc w:val="left"/>
              <w:rPr>
                <w:rFonts w:hint="eastAsia" w:ascii="宋体" w:hAnsi="宋体"/>
                <w:sz w:val="24"/>
                <w:lang w:val="en-US" w:eastAsia="zh-CN"/>
              </w:rPr>
            </w:pPr>
            <w:r>
              <w:rPr>
                <w:rFonts w:hint="eastAsia" w:ascii="宋体" w:hAnsi="宋体"/>
                <w:sz w:val="24"/>
                <w:lang w:val="en-US" w:eastAsia="zh-CN"/>
              </w:rPr>
              <w:t>6、</w:t>
            </w:r>
            <w:r>
              <w:rPr>
                <w:rFonts w:hint="eastAsia" w:ascii="宋体" w:hAnsi="宋体"/>
                <w:sz w:val="24"/>
              </w:rPr>
              <w:t>微波输出功率：在5～120W 范围内,逐</w:t>
            </w:r>
            <w:r>
              <w:rPr>
                <w:rFonts w:hint="eastAsia" w:ascii="宋体" w:hAnsi="宋体"/>
                <w:sz w:val="24"/>
                <w:lang w:val="en-US" w:eastAsia="zh-CN"/>
              </w:rPr>
              <w:t>级</w:t>
            </w:r>
            <w:r>
              <w:rPr>
                <w:rFonts w:hint="eastAsia" w:ascii="宋体" w:hAnsi="宋体"/>
                <w:sz w:val="24"/>
              </w:rPr>
              <w:t>可调，步进5W。</w:t>
            </w:r>
          </w:p>
        </w:tc>
        <w:tc>
          <w:tcPr>
            <w:tcW w:w="10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249" w:type="dxa"/>
            <w:vAlign w:val="top"/>
          </w:tcPr>
          <w:p>
            <w:pPr>
              <w:widowControl/>
              <w:jc w:val="left"/>
              <w:rPr>
                <w:rFonts w:hint="eastAsia" w:ascii="宋体" w:hAnsi="宋体"/>
                <w:sz w:val="24"/>
                <w:lang w:val="en-US" w:eastAsia="zh-CN"/>
              </w:rPr>
            </w:pPr>
            <w:r>
              <w:rPr>
                <w:rFonts w:hint="eastAsia" w:ascii="宋体" w:hAnsi="宋体"/>
                <w:sz w:val="24"/>
                <w:lang w:val="en-US" w:eastAsia="zh-CN"/>
              </w:rPr>
              <w:t>7、</w:t>
            </w:r>
            <w:r>
              <w:rPr>
                <w:rFonts w:hint="eastAsia" w:ascii="宋体" w:hAnsi="宋体"/>
                <w:sz w:val="24"/>
              </w:rPr>
              <w:t>微波输出工作时间：凝固治疗时间在1～30分钟范围内，可调，步进1分钟，治疗时间结束自动切断输出。</w:t>
            </w:r>
          </w:p>
        </w:tc>
        <w:tc>
          <w:tcPr>
            <w:tcW w:w="10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249" w:type="dxa"/>
            <w:vAlign w:val="top"/>
          </w:tcPr>
          <w:p>
            <w:pPr>
              <w:widowControl/>
              <w:jc w:val="left"/>
              <w:rPr>
                <w:rFonts w:hint="eastAsia" w:ascii="宋体" w:hAnsi="宋体"/>
                <w:sz w:val="24"/>
                <w:lang w:val="en-US" w:eastAsia="zh-CN"/>
              </w:rPr>
            </w:pPr>
            <w:r>
              <w:rPr>
                <w:rFonts w:hint="eastAsia" w:ascii="宋体" w:hAnsi="宋体"/>
                <w:sz w:val="24"/>
                <w:lang w:val="en-US" w:eastAsia="zh-CN"/>
              </w:rPr>
              <w:t>8、</w:t>
            </w:r>
            <w:r>
              <w:rPr>
                <w:rFonts w:hint="eastAsia" w:ascii="宋体" w:hAnsi="宋体"/>
                <w:sz w:val="24"/>
              </w:rPr>
              <w:t>微波发射源（主机）按对电击危险的防护分类，属Ⅰ类B型普通设备。</w:t>
            </w:r>
          </w:p>
        </w:tc>
        <w:tc>
          <w:tcPr>
            <w:tcW w:w="10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249" w:type="dxa"/>
            <w:vAlign w:val="top"/>
          </w:tcPr>
          <w:p>
            <w:pPr>
              <w:widowControl/>
              <w:jc w:val="left"/>
              <w:rPr>
                <w:rFonts w:hint="eastAsia" w:ascii="宋体" w:hAnsi="宋体"/>
                <w:sz w:val="24"/>
                <w:lang w:val="en-US" w:eastAsia="zh-CN"/>
              </w:rPr>
            </w:pPr>
            <w:r>
              <w:rPr>
                <w:rFonts w:hint="eastAsia" w:ascii="宋体" w:hAnsi="宋体"/>
                <w:sz w:val="24"/>
              </w:rPr>
              <w:t>▲</w:t>
            </w:r>
            <w:r>
              <w:rPr>
                <w:rFonts w:hint="eastAsia" w:ascii="宋体" w:hAnsi="宋体"/>
                <w:sz w:val="24"/>
                <w:lang w:val="en-US" w:eastAsia="zh-CN"/>
              </w:rPr>
              <w:t>9、</w:t>
            </w:r>
            <w:r>
              <w:rPr>
                <w:rFonts w:hint="eastAsia" w:ascii="宋体" w:hAnsi="宋体"/>
                <w:sz w:val="24"/>
              </w:rPr>
              <w:t>能兼容超声、CT、磁共振引导</w:t>
            </w:r>
            <w:r>
              <w:rPr>
                <w:rFonts w:hint="eastAsia" w:ascii="宋体" w:hAnsi="宋体"/>
                <w:sz w:val="24"/>
                <w:lang w:eastAsia="zh-CN"/>
              </w:rPr>
              <w:t>；</w:t>
            </w:r>
          </w:p>
        </w:tc>
        <w:tc>
          <w:tcPr>
            <w:tcW w:w="10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249" w:type="dxa"/>
            <w:vAlign w:val="top"/>
          </w:tcPr>
          <w:p>
            <w:pPr>
              <w:widowControl/>
              <w:jc w:val="left"/>
              <w:rPr>
                <w:rFonts w:hint="eastAsia" w:ascii="宋体" w:hAnsi="宋体"/>
                <w:sz w:val="24"/>
                <w:lang w:val="en-US" w:eastAsia="zh-CN"/>
              </w:rPr>
            </w:pPr>
            <w:r>
              <w:rPr>
                <w:rFonts w:hint="eastAsia" w:ascii="宋体" w:hAnsi="宋体"/>
                <w:sz w:val="24"/>
              </w:rPr>
              <w:t>▲</w:t>
            </w:r>
            <w:r>
              <w:rPr>
                <w:rFonts w:hint="eastAsia" w:ascii="宋体" w:hAnsi="宋体"/>
                <w:sz w:val="24"/>
                <w:lang w:val="en-US" w:eastAsia="zh-CN"/>
              </w:rPr>
              <w:t>10、</w:t>
            </w:r>
            <w:r>
              <w:rPr>
                <w:rFonts w:hint="eastAsia" w:ascii="宋体" w:hAnsi="宋体"/>
                <w:sz w:val="24"/>
              </w:rPr>
              <w:t>微波消融区温度监测：40℃～1</w:t>
            </w:r>
            <w:r>
              <w:rPr>
                <w:rFonts w:hint="eastAsia" w:ascii="宋体" w:hAnsi="宋体"/>
                <w:sz w:val="24"/>
                <w:lang w:val="en-US" w:eastAsia="zh-CN"/>
              </w:rPr>
              <w:t>10</w:t>
            </w:r>
            <w:r>
              <w:rPr>
                <w:rFonts w:hint="eastAsia" w:ascii="宋体" w:hAnsi="宋体"/>
                <w:sz w:val="24"/>
              </w:rPr>
              <w:t>℃，精准度±0.5℃</w:t>
            </w:r>
          </w:p>
        </w:tc>
        <w:tc>
          <w:tcPr>
            <w:tcW w:w="10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249" w:type="dxa"/>
            <w:vAlign w:val="top"/>
          </w:tcPr>
          <w:p>
            <w:pPr>
              <w:widowControl/>
              <w:jc w:val="left"/>
              <w:rPr>
                <w:rFonts w:hint="eastAsia" w:ascii="宋体" w:hAnsi="宋体" w:eastAsia="宋体" w:cs="宋体"/>
                <w:kern w:val="2"/>
                <w:sz w:val="24"/>
                <w:szCs w:val="24"/>
                <w:lang w:val="en-US" w:eastAsia="zh-CN" w:bidi="ar-SA"/>
              </w:rPr>
            </w:pPr>
            <w:r>
              <w:rPr>
                <w:rFonts w:hint="eastAsia" w:ascii="宋体" w:hAnsi="宋体"/>
                <w:sz w:val="24"/>
              </w:rPr>
              <w:t>▲</w:t>
            </w:r>
            <w:r>
              <w:rPr>
                <w:rFonts w:hint="eastAsia" w:ascii="宋体" w:hAnsi="宋体"/>
                <w:sz w:val="24"/>
                <w:lang w:val="en-US" w:eastAsia="zh-CN"/>
              </w:rPr>
              <w:t>11、</w:t>
            </w:r>
            <w:r>
              <w:rPr>
                <w:rFonts w:hint="eastAsia" w:ascii="宋体" w:hAnsi="宋体"/>
                <w:sz w:val="24"/>
              </w:rPr>
              <w:t>配有</w:t>
            </w:r>
            <w:r>
              <w:rPr>
                <w:rFonts w:hint="eastAsia" w:ascii="宋体" w:hAnsi="宋体"/>
                <w:sz w:val="24"/>
                <w:lang w:val="en-US" w:eastAsia="zh-CN"/>
              </w:rPr>
              <w:t>动态功率稳定、</w:t>
            </w:r>
            <w:r>
              <w:rPr>
                <w:rFonts w:hint="eastAsia" w:ascii="宋体" w:hAnsi="宋体"/>
                <w:sz w:val="24"/>
              </w:rPr>
              <w:t>抗干扰测温系统；</w:t>
            </w:r>
          </w:p>
        </w:tc>
        <w:tc>
          <w:tcPr>
            <w:tcW w:w="10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249" w:type="dxa"/>
            <w:vAlign w:val="top"/>
          </w:tcPr>
          <w:p>
            <w:pPr>
              <w:widowControl/>
              <w:jc w:val="left"/>
              <w:rPr>
                <w:rFonts w:hint="eastAsia" w:ascii="宋体" w:hAnsi="宋体" w:eastAsia="宋体" w:cs="宋体"/>
                <w:kern w:val="2"/>
                <w:sz w:val="24"/>
                <w:szCs w:val="24"/>
                <w:lang w:val="en-US" w:eastAsia="zh-CN" w:bidi="ar-SA"/>
              </w:rPr>
            </w:pPr>
            <w:r>
              <w:rPr>
                <w:rFonts w:hint="eastAsia" w:ascii="宋体" w:hAnsi="宋体"/>
                <w:sz w:val="24"/>
                <w:lang w:val="en-US" w:eastAsia="zh-CN"/>
              </w:rPr>
              <w:t>12、</w:t>
            </w:r>
            <w:r>
              <w:rPr>
                <w:rFonts w:hint="eastAsia" w:ascii="宋体" w:hAnsi="宋体"/>
                <w:sz w:val="24"/>
              </w:rPr>
              <w:t>开关控制：脚踏开关控制和手动控制两种控制系统；</w:t>
            </w:r>
          </w:p>
        </w:tc>
        <w:tc>
          <w:tcPr>
            <w:tcW w:w="10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249" w:type="dxa"/>
            <w:vAlign w:val="top"/>
          </w:tcPr>
          <w:p>
            <w:pPr>
              <w:widowControl/>
              <w:jc w:val="left"/>
              <w:rPr>
                <w:rFonts w:hint="eastAsia" w:ascii="宋体" w:hAnsi="宋体" w:eastAsia="宋体" w:cs="宋体"/>
                <w:kern w:val="2"/>
                <w:sz w:val="24"/>
                <w:szCs w:val="24"/>
                <w:lang w:val="en-US" w:eastAsia="zh-CN" w:bidi="ar-SA"/>
              </w:rPr>
            </w:pPr>
            <w:r>
              <w:rPr>
                <w:rFonts w:hint="eastAsia" w:ascii="宋体" w:hAnsi="宋体"/>
                <w:sz w:val="24"/>
                <w:lang w:val="en-US" w:eastAsia="zh-CN"/>
              </w:rPr>
              <w:t>13、</w:t>
            </w:r>
            <w:r>
              <w:rPr>
                <w:rFonts w:hint="eastAsia" w:ascii="宋体" w:hAnsi="宋体"/>
                <w:sz w:val="24"/>
              </w:rPr>
              <w:t>整机泄露：无用微波辐射＜3.2mw/cm².仪器外壳泄露低于国家标准10mw/cm²；</w:t>
            </w:r>
          </w:p>
        </w:tc>
        <w:tc>
          <w:tcPr>
            <w:tcW w:w="10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249" w:type="dxa"/>
            <w:vAlign w:val="top"/>
          </w:tcPr>
          <w:p>
            <w:pPr>
              <w:widowControl/>
              <w:jc w:val="left"/>
              <w:rPr>
                <w:rFonts w:hint="eastAsia" w:ascii="宋体" w:hAnsi="宋体" w:eastAsia="宋体" w:cs="宋体"/>
                <w:kern w:val="2"/>
                <w:sz w:val="24"/>
                <w:szCs w:val="24"/>
                <w:lang w:val="en-US" w:eastAsia="zh-CN" w:bidi="ar-SA"/>
              </w:rPr>
            </w:pPr>
            <w:r>
              <w:rPr>
                <w:rFonts w:hint="eastAsia" w:ascii="宋体" w:hAnsi="宋体"/>
                <w:sz w:val="24"/>
              </w:rPr>
              <w:t>▲</w:t>
            </w:r>
            <w:r>
              <w:rPr>
                <w:rFonts w:hint="eastAsia" w:ascii="宋体" w:hAnsi="宋体"/>
                <w:sz w:val="24"/>
                <w:lang w:val="en-US" w:eastAsia="zh-CN"/>
              </w:rPr>
              <w:t>14、</w:t>
            </w:r>
            <w:r>
              <w:rPr>
                <w:rFonts w:hint="eastAsia" w:ascii="宋体" w:hAnsi="宋体"/>
                <w:sz w:val="24"/>
              </w:rPr>
              <w:t>系统配置发射源并配有相应的水冷却泵，</w:t>
            </w:r>
            <w:r>
              <w:rPr>
                <w:rFonts w:hint="eastAsia" w:ascii="宋体" w:hAnsi="宋体"/>
                <w:sz w:val="24"/>
                <w:lang w:val="en-US" w:eastAsia="zh-CN"/>
              </w:rPr>
              <w:t>可满足肝脏肿瘤高功率消融，有效损毁功率可达80-100W。</w:t>
            </w:r>
          </w:p>
        </w:tc>
        <w:tc>
          <w:tcPr>
            <w:tcW w:w="10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249" w:type="dxa"/>
            <w:vAlign w:val="top"/>
          </w:tcPr>
          <w:p>
            <w:pPr>
              <w:widowControl/>
              <w:jc w:val="left"/>
              <w:rPr>
                <w:rFonts w:hint="eastAsia" w:ascii="宋体" w:hAnsi="宋体" w:eastAsia="宋体" w:cs="宋体"/>
                <w:kern w:val="2"/>
                <w:sz w:val="24"/>
                <w:szCs w:val="24"/>
                <w:lang w:val="en-US" w:eastAsia="zh-CN" w:bidi="ar-SA"/>
              </w:rPr>
            </w:pPr>
            <w:r>
              <w:rPr>
                <w:rFonts w:hint="eastAsia" w:ascii="宋体" w:hAnsi="宋体"/>
                <w:sz w:val="24"/>
                <w:lang w:val="en-US" w:eastAsia="zh-CN"/>
              </w:rPr>
              <w:t>15、</w:t>
            </w:r>
            <w:r>
              <w:rPr>
                <w:rFonts w:hint="eastAsia" w:ascii="宋体" w:hAnsi="宋体"/>
                <w:sz w:val="24"/>
              </w:rPr>
              <w:t>配有TPS肿瘤消融计划系统</w:t>
            </w:r>
          </w:p>
        </w:tc>
        <w:tc>
          <w:tcPr>
            <w:tcW w:w="1045" w:type="dxa"/>
            <w:vAlign w:val="center"/>
          </w:tcPr>
          <w:p>
            <w:pPr>
              <w:jc w:val="center"/>
              <w:rPr>
                <w:rFonts w:hint="eastAsia" w:ascii="宋体" w:hAnsi="宋体"/>
                <w:szCs w:val="21"/>
              </w:rPr>
            </w:pPr>
          </w:p>
        </w:tc>
      </w:tr>
    </w:tbl>
    <w:p>
      <w:pPr>
        <w:widowControl/>
        <w:jc w:val="left"/>
        <w:rPr>
          <w:rFonts w:ascii="宋体" w:hAnsi="宋体"/>
          <w:kern w:val="0"/>
          <w:szCs w:val="21"/>
        </w:rPr>
      </w:pPr>
    </w:p>
    <w:p>
      <w:pPr>
        <w:pStyle w:val="2"/>
        <w:rPr>
          <w:rFonts w:ascii="宋体" w:hAnsi="宋体"/>
          <w:kern w:val="0"/>
          <w:szCs w:val="21"/>
        </w:rPr>
      </w:pPr>
    </w:p>
    <w:p>
      <w:pPr>
        <w:ind w:firstLine="422" w:firstLineChars="200"/>
        <w:rPr>
          <w:b/>
        </w:rPr>
      </w:pPr>
      <w:r>
        <w:rPr>
          <w:rFonts w:hint="eastAsia"/>
          <w:b/>
          <w:szCs w:val="21"/>
        </w:rPr>
        <w:t>说明：</w:t>
      </w:r>
      <w:r>
        <w:rPr>
          <w:b/>
          <w:szCs w:val="21"/>
        </w:rPr>
        <w:t xml:space="preserve"> </w:t>
      </w:r>
    </w:p>
    <w:p>
      <w:pPr>
        <w:ind w:firstLine="422" w:firstLineChars="200"/>
        <w:rPr>
          <w:b/>
          <w:color w:val="FF0000"/>
        </w:rPr>
      </w:pPr>
      <w:r>
        <w:rPr>
          <w:rFonts w:hint="eastAsia"/>
          <w:b/>
          <w:color w:val="FF0000"/>
        </w:rPr>
        <w:t>1、本项目技术需求中要求提供的各项证明材料均提供扫描件，原件备查。如投标人未按要求提供的，或提供的材料未能证明所投产品响应情况的，则该参数视为没有满足招标文件要求，将根据参数情况产生以下影响：</w:t>
      </w:r>
    </w:p>
    <w:p>
      <w:pPr>
        <w:ind w:firstLine="422" w:firstLineChars="200"/>
        <w:rPr>
          <w:b/>
          <w:color w:val="FF0000"/>
        </w:rPr>
      </w:pPr>
      <w:r>
        <w:rPr>
          <w:rFonts w:hint="eastAsia"/>
          <w:b/>
          <w:color w:val="FF0000"/>
        </w:rPr>
        <w:t>（</w:t>
      </w:r>
      <w:r>
        <w:rPr>
          <w:b/>
          <w:color w:val="FF0000"/>
        </w:rPr>
        <w:t>1</w:t>
      </w:r>
      <w:r>
        <w:rPr>
          <w:rFonts w:hint="eastAsia"/>
          <w:b/>
          <w:color w:val="FF0000"/>
        </w:rPr>
        <w:t>）如项目技术要求中设置了“★”号的参数，则该项参数为关键性技术指标，投标人所投产品必须满足，否则视为没有实质性满足招标文件要求。</w:t>
      </w:r>
    </w:p>
    <w:p>
      <w:pPr>
        <w:ind w:firstLine="422" w:firstLineChars="200"/>
        <w:rPr>
          <w:b/>
          <w:color w:val="FF0000"/>
        </w:rPr>
      </w:pPr>
      <w:r>
        <w:rPr>
          <w:rFonts w:hint="eastAsia"/>
          <w:b/>
          <w:color w:val="FF0000"/>
        </w:rPr>
        <w:t>（</w:t>
      </w:r>
      <w:r>
        <w:rPr>
          <w:b/>
          <w:color w:val="FF0000"/>
        </w:rPr>
        <w:t>2</w:t>
      </w:r>
      <w:r>
        <w:rPr>
          <w:rFonts w:hint="eastAsia"/>
          <w:b/>
          <w:color w:val="FF0000"/>
        </w:rPr>
        <w:t>）如项目技术要求中设置了“▲”号的参数，则该项参数为重要技术指标，将在“产品技术指标符合程度评价”评分项中作为重点评价指标。</w:t>
      </w:r>
    </w:p>
    <w:p>
      <w:pPr>
        <w:ind w:firstLine="422" w:firstLineChars="200"/>
        <w:rPr>
          <w:b/>
          <w:color w:val="FF0000"/>
        </w:rPr>
      </w:pPr>
      <w:r>
        <w:rPr>
          <w:rFonts w:hint="eastAsia"/>
          <w:b/>
          <w:color w:val="FF0000"/>
        </w:rPr>
        <w:t>（</w:t>
      </w:r>
      <w:r>
        <w:rPr>
          <w:b/>
          <w:color w:val="FF0000"/>
        </w:rPr>
        <w:t>3</w:t>
      </w:r>
      <w:r>
        <w:rPr>
          <w:rFonts w:hint="eastAsia"/>
          <w:b/>
          <w:color w:val="FF0000"/>
        </w:rPr>
        <w:t>）如项目技术要求中未设置“★”或“▲”号的参数，则该项参数为普通技术指标，将在“产品技术指标符合程度评价”评分项中作为评价指标。</w:t>
      </w:r>
    </w:p>
    <w:p>
      <w:pPr>
        <w:ind w:firstLine="422" w:firstLineChars="200"/>
        <w:rPr>
          <w:b/>
        </w:rPr>
      </w:pPr>
      <w:r>
        <w:rPr>
          <w:rFonts w:hint="eastAsia"/>
          <w:b/>
        </w:rPr>
        <w:t>2、技术参数设置为区间要求的，产品参数区间应至少包含招标要求参数区间，如某技术参数要求在0-100单位，响应的区间应至少包含“0-100单位”（例如“0-100”、“0-101”••••••），否则视为负偏离。</w:t>
      </w:r>
    </w:p>
    <w:p>
      <w:pPr>
        <w:widowControl/>
        <w:jc w:val="left"/>
        <w:rPr>
          <w:rFonts w:ascii="宋体" w:hAnsi="宋体"/>
          <w:kern w:val="0"/>
          <w:szCs w:val="21"/>
        </w:rPr>
      </w:pPr>
    </w:p>
    <w:p>
      <w:pPr>
        <w:pStyle w:val="2"/>
        <w:rPr>
          <w:rFonts w:ascii="宋体" w:hAnsi="宋体"/>
          <w:kern w:val="0"/>
          <w:szCs w:val="21"/>
        </w:rPr>
      </w:pPr>
    </w:p>
    <w:p>
      <w:pPr>
        <w:pStyle w:val="6"/>
        <w:spacing w:beforeLines="50" w:afterLines="50"/>
        <w:jc w:val="both"/>
        <w:rPr>
          <w:rFonts w:hint="default" w:eastAsia="宋体"/>
          <w:szCs w:val="24"/>
          <w:lang w:val="en-US" w:eastAsia="zh-CN"/>
        </w:rPr>
      </w:pPr>
      <w:r>
        <w:rPr>
          <w:rFonts w:hint="eastAsia"/>
          <w:szCs w:val="24"/>
        </w:rPr>
        <w:t>四、配置</w:t>
      </w:r>
      <w:r>
        <w:rPr>
          <w:rFonts w:hint="eastAsia"/>
          <w:szCs w:val="24"/>
          <w:lang w:val="en-US" w:eastAsia="zh-CN"/>
        </w:rPr>
        <w:t>要求：</w:t>
      </w:r>
    </w:p>
    <w:tbl>
      <w:tblPr>
        <w:tblStyle w:val="54"/>
        <w:tblW w:w="8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96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配置名称</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01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4961" w:type="dxa"/>
            <w:vAlign w:val="top"/>
          </w:tcPr>
          <w:p>
            <w:pPr>
              <w:widowControl/>
              <w:numPr>
                <w:ilvl w:val="0"/>
                <w:numId w:val="0"/>
              </w:numPr>
              <w:spacing w:line="360" w:lineRule="exact"/>
              <w:ind w:left="0" w:leftChars="0" w:firstLine="0" w:firstLineChars="0"/>
              <w:jc w:val="left"/>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sz w:val="24"/>
              </w:rPr>
              <w:t>主机</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台</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2</w:t>
            </w:r>
          </w:p>
        </w:tc>
        <w:tc>
          <w:tcPr>
            <w:tcW w:w="4961" w:type="dxa"/>
            <w:vAlign w:val="top"/>
          </w:tcPr>
          <w:p>
            <w:pPr>
              <w:widowControl/>
              <w:numPr>
                <w:ilvl w:val="0"/>
                <w:numId w:val="0"/>
              </w:numPr>
              <w:spacing w:line="360" w:lineRule="exact"/>
              <w:ind w:left="0" w:leftChars="0" w:firstLine="0" w:firstLineChars="0"/>
              <w:jc w:val="left"/>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sz w:val="24"/>
              </w:rPr>
              <w:t>电源线</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条</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3</w:t>
            </w:r>
          </w:p>
        </w:tc>
        <w:tc>
          <w:tcPr>
            <w:tcW w:w="4961" w:type="dxa"/>
            <w:vAlign w:val="top"/>
          </w:tcPr>
          <w:p>
            <w:pPr>
              <w:widowControl/>
              <w:numPr>
                <w:ilvl w:val="0"/>
                <w:numId w:val="0"/>
              </w:numPr>
              <w:spacing w:line="360" w:lineRule="exact"/>
              <w:ind w:left="0" w:leftChars="0" w:firstLine="0" w:firstLineChars="0"/>
              <w:jc w:val="left"/>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sz w:val="24"/>
              </w:rPr>
              <w:t>脚踏开关</w:t>
            </w:r>
          </w:p>
        </w:tc>
        <w:tc>
          <w:tcPr>
            <w:tcW w:w="709" w:type="dxa"/>
            <w:vAlign w:val="center"/>
          </w:tcPr>
          <w:p>
            <w:pPr>
              <w:jc w:val="center"/>
              <w:rPr>
                <w:rFonts w:hint="default"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个</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4</w:t>
            </w:r>
          </w:p>
        </w:tc>
        <w:tc>
          <w:tcPr>
            <w:tcW w:w="4961" w:type="dxa"/>
            <w:vAlign w:val="top"/>
          </w:tcPr>
          <w:p>
            <w:pPr>
              <w:widowControl/>
              <w:numPr>
                <w:ilvl w:val="0"/>
                <w:numId w:val="0"/>
              </w:numPr>
              <w:spacing w:line="360" w:lineRule="exact"/>
              <w:ind w:left="0" w:leftChars="0" w:firstLine="0" w:firstLineChars="0"/>
              <w:jc w:val="left"/>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sz w:val="24"/>
              </w:rPr>
              <w:t>冷却泵</w:t>
            </w:r>
          </w:p>
        </w:tc>
        <w:tc>
          <w:tcPr>
            <w:tcW w:w="709" w:type="dxa"/>
            <w:vAlign w:val="center"/>
          </w:tcPr>
          <w:p>
            <w:pPr>
              <w:jc w:val="center"/>
              <w:rPr>
                <w:rFonts w:hint="default"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个</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5</w:t>
            </w:r>
          </w:p>
        </w:tc>
        <w:tc>
          <w:tcPr>
            <w:tcW w:w="4961" w:type="dxa"/>
            <w:vAlign w:val="top"/>
          </w:tcPr>
          <w:p>
            <w:pPr>
              <w:widowControl/>
              <w:jc w:val="left"/>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sz w:val="24"/>
              </w:rPr>
              <w:t xml:space="preserve">滚动台车 </w:t>
            </w:r>
          </w:p>
        </w:tc>
        <w:tc>
          <w:tcPr>
            <w:tcW w:w="709"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1</w:t>
            </w:r>
          </w:p>
        </w:tc>
        <w:tc>
          <w:tcPr>
            <w:tcW w:w="709"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台</w:t>
            </w:r>
          </w:p>
        </w:tc>
        <w:tc>
          <w:tcPr>
            <w:tcW w:w="1011"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6</w:t>
            </w:r>
          </w:p>
        </w:tc>
        <w:tc>
          <w:tcPr>
            <w:tcW w:w="4961" w:type="dxa"/>
            <w:vAlign w:val="top"/>
          </w:tcPr>
          <w:p>
            <w:pPr>
              <w:widowControl/>
              <w:numPr>
                <w:ilvl w:val="0"/>
                <w:numId w:val="0"/>
              </w:numPr>
              <w:spacing w:line="360" w:lineRule="exact"/>
              <w:ind w:left="0" w:leftChars="0" w:firstLine="0" w:firstLineChars="0"/>
              <w:jc w:val="left"/>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sz w:val="24"/>
              </w:rPr>
              <w:t xml:space="preserve">说明书  </w:t>
            </w:r>
          </w:p>
        </w:tc>
        <w:tc>
          <w:tcPr>
            <w:tcW w:w="709"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2</w:t>
            </w:r>
          </w:p>
        </w:tc>
        <w:tc>
          <w:tcPr>
            <w:tcW w:w="709"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本</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bl>
    <w:p>
      <w:pPr>
        <w:widowControl/>
        <w:jc w:val="left"/>
        <w:rPr>
          <w:rFonts w:ascii="宋体" w:hAnsi="宋体"/>
          <w:kern w:val="0"/>
          <w:szCs w:val="21"/>
        </w:rPr>
      </w:pPr>
    </w:p>
    <w:p>
      <w:pPr>
        <w:pStyle w:val="2"/>
        <w:rPr>
          <w:rFonts w:ascii="宋体" w:hAnsi="宋体"/>
          <w:kern w:val="0"/>
          <w:szCs w:val="21"/>
        </w:rPr>
      </w:pPr>
    </w:p>
    <w:p>
      <w:pPr>
        <w:pStyle w:val="2"/>
        <w:rPr>
          <w:rFonts w:ascii="宋体" w:hAnsi="宋体"/>
          <w:kern w:val="0"/>
          <w:szCs w:val="21"/>
        </w:rPr>
      </w:pPr>
    </w:p>
    <w:p>
      <w:pPr>
        <w:jc w:val="center"/>
      </w:pPr>
    </w:p>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r>
        <w:rPr>
          <w:rFonts w:hint="eastAsia" w:hAnsi="宋体"/>
          <w:b/>
          <w:color w:val="auto"/>
          <w:lang w:eastAsia="zh-CN"/>
        </w:rPr>
        <w:t>。</w:t>
      </w:r>
    </w:p>
    <w:p>
      <w:pPr>
        <w:numPr>
          <w:ilvl w:val="0"/>
          <w:numId w:val="1"/>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1"/>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六、商务要求：</w:t>
      </w:r>
    </w:p>
    <w:tbl>
      <w:tblPr>
        <w:tblStyle w:val="54"/>
        <w:tblW w:w="4879" w:type="pct"/>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925"/>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6" w:type="pct"/>
            <w:vAlign w:val="center"/>
          </w:tcPr>
          <w:p>
            <w:pPr>
              <w:jc w:val="center"/>
              <w:rPr>
                <w:b/>
                <w:color w:val="auto"/>
                <w:highlight w:val="none"/>
              </w:rPr>
            </w:pPr>
            <w:r>
              <w:rPr>
                <w:rFonts w:hint="eastAsia"/>
                <w:b/>
                <w:color w:val="auto"/>
                <w:highlight w:val="none"/>
              </w:rPr>
              <w:t>序号</w:t>
            </w:r>
          </w:p>
        </w:tc>
        <w:tc>
          <w:tcPr>
            <w:tcW w:w="990" w:type="pct"/>
            <w:vAlign w:val="center"/>
          </w:tcPr>
          <w:p>
            <w:pPr>
              <w:jc w:val="center"/>
              <w:rPr>
                <w:b/>
                <w:color w:val="auto"/>
                <w:highlight w:val="none"/>
              </w:rPr>
            </w:pPr>
            <w:r>
              <w:rPr>
                <w:rFonts w:hint="eastAsia"/>
                <w:b/>
                <w:color w:val="auto"/>
                <w:highlight w:val="none"/>
              </w:rPr>
              <w:t>目录</w:t>
            </w:r>
          </w:p>
        </w:tc>
        <w:tc>
          <w:tcPr>
            <w:tcW w:w="336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46" w:type="pct"/>
            <w:vMerge w:val="restart"/>
            <w:vAlign w:val="center"/>
          </w:tcPr>
          <w:p>
            <w:pPr>
              <w:jc w:val="center"/>
              <w:rPr>
                <w:b/>
                <w:color w:val="auto"/>
                <w:highlight w:val="none"/>
              </w:rPr>
            </w:pPr>
            <w:r>
              <w:rPr>
                <w:rFonts w:hint="eastAsia"/>
                <w:b/>
                <w:color w:val="auto"/>
                <w:highlight w:val="none"/>
              </w:rPr>
              <w:t>（一）免费保修期内售后服务要求</w:t>
            </w:r>
          </w:p>
        </w:tc>
        <w:tc>
          <w:tcPr>
            <w:tcW w:w="990" w:type="pct"/>
            <w:vAlign w:val="center"/>
          </w:tcPr>
          <w:p>
            <w:pPr>
              <w:jc w:val="center"/>
              <w:rPr>
                <w:color w:val="auto"/>
                <w:highlight w:val="none"/>
              </w:rPr>
            </w:pPr>
            <w:r>
              <w:rPr>
                <w:rFonts w:hint="eastAsia"/>
                <w:color w:val="auto"/>
                <w:highlight w:val="none"/>
              </w:rPr>
              <w:t>免费保修期</w:t>
            </w:r>
          </w:p>
        </w:tc>
        <w:tc>
          <w:tcPr>
            <w:tcW w:w="336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46" w:type="pct"/>
            <w:vMerge w:val="continue"/>
            <w:vAlign w:val="center"/>
          </w:tcPr>
          <w:p>
            <w:pPr>
              <w:jc w:val="center"/>
              <w:rPr>
                <w:b/>
                <w:color w:val="auto"/>
                <w:highlight w:val="none"/>
              </w:rPr>
            </w:pPr>
          </w:p>
        </w:tc>
        <w:tc>
          <w:tcPr>
            <w:tcW w:w="990" w:type="pct"/>
            <w:vAlign w:val="center"/>
          </w:tcPr>
          <w:p>
            <w:pPr>
              <w:jc w:val="center"/>
              <w:rPr>
                <w:color w:val="auto"/>
                <w:highlight w:val="none"/>
              </w:rPr>
            </w:pPr>
            <w:r>
              <w:rPr>
                <w:rFonts w:hint="eastAsia"/>
                <w:color w:val="auto"/>
                <w:highlight w:val="none"/>
              </w:rPr>
              <w:t>响应时间</w:t>
            </w:r>
          </w:p>
        </w:tc>
        <w:tc>
          <w:tcPr>
            <w:tcW w:w="336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46" w:type="pct"/>
            <w:vMerge w:val="continue"/>
            <w:vAlign w:val="center"/>
          </w:tcPr>
          <w:p>
            <w:pPr>
              <w:jc w:val="center"/>
              <w:rPr>
                <w:b/>
                <w:color w:val="auto"/>
                <w:highlight w:val="none"/>
              </w:rPr>
            </w:pPr>
          </w:p>
        </w:tc>
        <w:tc>
          <w:tcPr>
            <w:tcW w:w="990" w:type="pct"/>
            <w:vMerge w:val="restart"/>
            <w:vAlign w:val="center"/>
          </w:tcPr>
          <w:p>
            <w:pPr>
              <w:jc w:val="center"/>
              <w:rPr>
                <w:b/>
                <w:color w:val="auto"/>
                <w:highlight w:val="none"/>
              </w:rPr>
            </w:pPr>
            <w:r>
              <w:rPr>
                <w:rFonts w:hint="eastAsia"/>
                <w:color w:val="auto"/>
                <w:highlight w:val="none"/>
              </w:rPr>
              <w:t>其他</w:t>
            </w:r>
          </w:p>
        </w:tc>
        <w:tc>
          <w:tcPr>
            <w:tcW w:w="336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46" w:type="pct"/>
            <w:vMerge w:val="restart"/>
            <w:vAlign w:val="center"/>
          </w:tcPr>
          <w:p>
            <w:pPr>
              <w:jc w:val="center"/>
              <w:rPr>
                <w:b/>
                <w:color w:val="auto"/>
                <w:highlight w:val="none"/>
              </w:rPr>
            </w:pPr>
            <w:r>
              <w:rPr>
                <w:rFonts w:hint="eastAsia"/>
                <w:b/>
                <w:color w:val="auto"/>
                <w:highlight w:val="none"/>
              </w:rPr>
              <w:t>（二）免费保修期外售后服务要求</w:t>
            </w:r>
          </w:p>
        </w:tc>
        <w:tc>
          <w:tcPr>
            <w:tcW w:w="990" w:type="pct"/>
            <w:vAlign w:val="center"/>
          </w:tcPr>
          <w:p>
            <w:pPr>
              <w:jc w:val="center"/>
              <w:rPr>
                <w:color w:val="auto"/>
                <w:highlight w:val="none"/>
              </w:rPr>
            </w:pPr>
            <w:r>
              <w:rPr>
                <w:rFonts w:hint="eastAsia"/>
                <w:color w:val="auto"/>
                <w:highlight w:val="none"/>
              </w:rPr>
              <w:t>软件升级</w:t>
            </w:r>
          </w:p>
        </w:tc>
        <w:tc>
          <w:tcPr>
            <w:tcW w:w="336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continue"/>
            <w:vAlign w:val="center"/>
          </w:tcPr>
          <w:p>
            <w:pPr>
              <w:jc w:val="center"/>
              <w:rPr>
                <w:b/>
                <w:color w:val="auto"/>
                <w:highlight w:val="none"/>
              </w:rPr>
            </w:pPr>
          </w:p>
        </w:tc>
        <w:tc>
          <w:tcPr>
            <w:tcW w:w="990" w:type="pct"/>
            <w:vAlign w:val="center"/>
          </w:tcPr>
          <w:p>
            <w:pPr>
              <w:jc w:val="center"/>
              <w:rPr>
                <w:b/>
                <w:color w:val="auto"/>
                <w:highlight w:val="none"/>
              </w:rPr>
            </w:pPr>
            <w:r>
              <w:rPr>
                <w:rFonts w:hint="eastAsia"/>
                <w:color w:val="auto"/>
                <w:highlight w:val="none"/>
              </w:rPr>
              <w:t>软件合法性</w:t>
            </w:r>
          </w:p>
        </w:tc>
        <w:tc>
          <w:tcPr>
            <w:tcW w:w="336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continue"/>
            <w:vAlign w:val="center"/>
          </w:tcPr>
          <w:p>
            <w:pPr>
              <w:jc w:val="center"/>
              <w:rPr>
                <w:b/>
                <w:color w:val="auto"/>
                <w:highlight w:val="none"/>
              </w:rPr>
            </w:pPr>
          </w:p>
        </w:tc>
        <w:tc>
          <w:tcPr>
            <w:tcW w:w="990" w:type="pct"/>
            <w:vAlign w:val="center"/>
          </w:tcPr>
          <w:p>
            <w:pPr>
              <w:jc w:val="center"/>
              <w:rPr>
                <w:b/>
                <w:color w:val="auto"/>
                <w:highlight w:val="none"/>
              </w:rPr>
            </w:pPr>
            <w:r>
              <w:rPr>
                <w:rFonts w:hint="eastAsia"/>
                <w:color w:val="auto"/>
                <w:highlight w:val="none"/>
              </w:rPr>
              <w:t>培训</w:t>
            </w:r>
          </w:p>
        </w:tc>
        <w:tc>
          <w:tcPr>
            <w:tcW w:w="336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46" w:type="pct"/>
            <w:vMerge w:val="continue"/>
            <w:vAlign w:val="center"/>
          </w:tcPr>
          <w:p>
            <w:pPr>
              <w:jc w:val="center"/>
              <w:rPr>
                <w:b/>
                <w:color w:val="auto"/>
                <w:highlight w:val="none"/>
              </w:rPr>
            </w:pPr>
          </w:p>
        </w:tc>
        <w:tc>
          <w:tcPr>
            <w:tcW w:w="990" w:type="pct"/>
            <w:vAlign w:val="center"/>
          </w:tcPr>
          <w:p>
            <w:pPr>
              <w:jc w:val="center"/>
              <w:rPr>
                <w:color w:val="auto"/>
                <w:highlight w:val="none"/>
              </w:rPr>
            </w:pPr>
            <w:r>
              <w:rPr>
                <w:rFonts w:hint="eastAsia"/>
                <w:color w:val="auto"/>
                <w:highlight w:val="none"/>
              </w:rPr>
              <w:t>售后服务</w:t>
            </w:r>
          </w:p>
        </w:tc>
        <w:tc>
          <w:tcPr>
            <w:tcW w:w="336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restart"/>
            <w:vAlign w:val="center"/>
          </w:tcPr>
          <w:p>
            <w:pPr>
              <w:jc w:val="center"/>
              <w:rPr>
                <w:b/>
                <w:color w:val="auto"/>
                <w:highlight w:val="none"/>
              </w:rPr>
            </w:pPr>
            <w:r>
              <w:rPr>
                <w:rFonts w:hint="eastAsia"/>
                <w:b/>
                <w:color w:val="auto"/>
                <w:highlight w:val="none"/>
              </w:rPr>
              <w:t>（三）其他商务要求</w:t>
            </w:r>
          </w:p>
        </w:tc>
        <w:tc>
          <w:tcPr>
            <w:tcW w:w="990" w:type="pct"/>
            <w:vAlign w:val="center"/>
          </w:tcPr>
          <w:p>
            <w:pPr>
              <w:jc w:val="center"/>
              <w:rPr>
                <w:color w:val="auto"/>
                <w:highlight w:val="none"/>
              </w:rPr>
            </w:pPr>
            <w:r>
              <w:rPr>
                <w:rFonts w:hint="eastAsia"/>
                <w:color w:val="auto"/>
                <w:highlight w:val="none"/>
              </w:rPr>
              <w:t>关于交货</w:t>
            </w:r>
          </w:p>
        </w:tc>
        <w:tc>
          <w:tcPr>
            <w:tcW w:w="336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46" w:type="pct"/>
            <w:vMerge w:val="continue"/>
            <w:vAlign w:val="center"/>
          </w:tcPr>
          <w:p>
            <w:pPr>
              <w:jc w:val="center"/>
              <w:rPr>
                <w:b/>
                <w:color w:val="auto"/>
                <w:highlight w:val="none"/>
              </w:rPr>
            </w:pPr>
          </w:p>
        </w:tc>
        <w:tc>
          <w:tcPr>
            <w:tcW w:w="990" w:type="pct"/>
            <w:vAlign w:val="center"/>
          </w:tcPr>
          <w:p>
            <w:pPr>
              <w:jc w:val="center"/>
              <w:rPr>
                <w:color w:val="auto"/>
                <w:highlight w:val="none"/>
              </w:rPr>
            </w:pPr>
            <w:r>
              <w:rPr>
                <w:rFonts w:hint="eastAsia"/>
                <w:color w:val="auto"/>
                <w:highlight w:val="none"/>
              </w:rPr>
              <w:t>报价</w:t>
            </w:r>
          </w:p>
        </w:tc>
        <w:tc>
          <w:tcPr>
            <w:tcW w:w="336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46" w:type="pct"/>
            <w:vMerge w:val="continue"/>
            <w:vAlign w:val="center"/>
          </w:tcPr>
          <w:p>
            <w:pPr>
              <w:jc w:val="center"/>
              <w:rPr>
                <w:b/>
                <w:color w:val="auto"/>
                <w:highlight w:val="none"/>
              </w:rPr>
            </w:pPr>
          </w:p>
        </w:tc>
        <w:tc>
          <w:tcPr>
            <w:tcW w:w="990" w:type="pct"/>
            <w:vMerge w:val="restart"/>
            <w:vAlign w:val="center"/>
          </w:tcPr>
          <w:p>
            <w:pPr>
              <w:jc w:val="center"/>
              <w:rPr>
                <w:color w:val="auto"/>
                <w:highlight w:val="none"/>
              </w:rPr>
            </w:pPr>
            <w:r>
              <w:rPr>
                <w:rFonts w:hint="eastAsia"/>
                <w:color w:val="auto"/>
                <w:highlight w:val="none"/>
              </w:rPr>
              <w:t>关于验收</w:t>
            </w:r>
          </w:p>
        </w:tc>
        <w:tc>
          <w:tcPr>
            <w:tcW w:w="336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continue"/>
            <w:vAlign w:val="center"/>
          </w:tcPr>
          <w:p>
            <w:pPr>
              <w:jc w:val="center"/>
              <w:rPr>
                <w:b/>
                <w:color w:val="auto"/>
                <w:highlight w:val="none"/>
              </w:rPr>
            </w:pPr>
          </w:p>
        </w:tc>
        <w:tc>
          <w:tcPr>
            <w:tcW w:w="990" w:type="pct"/>
            <w:vMerge w:val="continue"/>
          </w:tcPr>
          <w:p>
            <w:pPr>
              <w:rPr>
                <w:b/>
                <w:color w:val="auto"/>
                <w:highlight w:val="none"/>
              </w:rPr>
            </w:pPr>
          </w:p>
        </w:tc>
        <w:tc>
          <w:tcPr>
            <w:tcW w:w="336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46" w:type="pct"/>
            <w:vMerge w:val="continue"/>
            <w:vAlign w:val="center"/>
          </w:tcPr>
          <w:p>
            <w:pPr>
              <w:jc w:val="center"/>
              <w:rPr>
                <w:b/>
                <w:color w:val="auto"/>
                <w:highlight w:val="none"/>
              </w:rPr>
            </w:pPr>
          </w:p>
        </w:tc>
        <w:tc>
          <w:tcPr>
            <w:tcW w:w="990" w:type="pct"/>
            <w:vMerge w:val="continue"/>
          </w:tcPr>
          <w:p>
            <w:pPr>
              <w:rPr>
                <w:b/>
                <w:color w:val="auto"/>
                <w:highlight w:val="none"/>
              </w:rPr>
            </w:pPr>
          </w:p>
        </w:tc>
        <w:tc>
          <w:tcPr>
            <w:tcW w:w="3362" w:type="pct"/>
          </w:tcPr>
          <w:p>
            <w:pPr>
              <w:spacing w:line="340" w:lineRule="exact"/>
              <w:rPr>
                <w:bCs/>
                <w:color w:val="auto"/>
                <w:szCs w:val="21"/>
                <w:highlight w:val="none"/>
              </w:rPr>
            </w:pPr>
            <w:r>
              <w:rPr>
                <w:rFonts w:hint="eastAsia" w:ascii="Times New Roman" w:hAnsi="Times New Roman" w:cs="Times New Roman"/>
                <w:lang w:val="en-US" w:eastAsia="zh-CN"/>
              </w:rPr>
              <w:t>5、</w:t>
            </w:r>
            <w:r>
              <w:rPr>
                <w:rFonts w:hint="eastAsia" w:ascii="Times New Roman" w:hAnsi="Times New Roman" w:cs="Times New Roman"/>
              </w:rPr>
              <w:t>本项目要求提供由深圳市计量院出具的全性能检测报告，检测费用由中标方承担（深圳市计量院不能检测的设备除外）；属于国家规定的强检设备，还需提供计量检定证书。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646" w:type="pct"/>
            <w:vMerge w:val="continue"/>
            <w:vAlign w:val="center"/>
          </w:tcPr>
          <w:p>
            <w:pPr>
              <w:jc w:val="center"/>
              <w:rPr>
                <w:b/>
                <w:color w:val="auto"/>
                <w:highlight w:val="none"/>
              </w:rPr>
            </w:pPr>
          </w:p>
        </w:tc>
        <w:tc>
          <w:tcPr>
            <w:tcW w:w="990" w:type="pct"/>
            <w:vMerge w:val="restart"/>
            <w:vAlign w:val="center"/>
          </w:tcPr>
          <w:p>
            <w:pPr>
              <w:jc w:val="center"/>
              <w:rPr>
                <w:b/>
                <w:color w:val="auto"/>
                <w:highlight w:val="none"/>
              </w:rPr>
            </w:pPr>
            <w:r>
              <w:rPr>
                <w:rFonts w:hint="eastAsia"/>
                <w:color w:val="auto"/>
                <w:highlight w:val="none"/>
              </w:rPr>
              <w:t>付款方式</w:t>
            </w:r>
          </w:p>
        </w:tc>
        <w:tc>
          <w:tcPr>
            <w:tcW w:w="3362" w:type="pct"/>
          </w:tcPr>
          <w:p>
            <w:pPr>
              <w:rPr>
                <w:color w:val="auto"/>
                <w:highlight w:val="none"/>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设备安装调试完毕，经</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验收合格的，投标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提供全额的发票，90天内支付合同总价的</w:t>
            </w:r>
            <w:r>
              <w:rPr>
                <w:rFonts w:hint="eastAsia" w:ascii="宋体" w:hAnsi="宋体" w:eastAsia="宋体" w:cs="宋体"/>
                <w:color w:val="auto"/>
                <w:sz w:val="21"/>
                <w:szCs w:val="21"/>
                <w:lang w:val="en-US" w:eastAsia="zh-CN"/>
              </w:rPr>
              <w:t>95%</w:t>
            </w:r>
            <w:r>
              <w:rPr>
                <w:rFonts w:hint="eastAsia" w:ascii="宋体" w:hAnsi="宋体" w:eastAsia="宋体" w:cs="宋体"/>
                <w:color w:val="auto"/>
                <w:sz w:val="21"/>
                <w:szCs w:val="21"/>
              </w:rPr>
              <w:t>货款，保修期满后，由投标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提出申请，</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在一个月内无息付清5%质保金。保修期内，如投标</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未按照本合同的约定提供售后服务或履行义务的行为不符合本合同约定的，则质保金</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46" w:type="pct"/>
            <w:vMerge w:val="continue"/>
            <w:vAlign w:val="center"/>
          </w:tcPr>
          <w:p>
            <w:pPr>
              <w:jc w:val="center"/>
              <w:rPr>
                <w:color w:val="auto"/>
                <w:highlight w:val="none"/>
              </w:rPr>
            </w:pPr>
          </w:p>
        </w:tc>
        <w:tc>
          <w:tcPr>
            <w:tcW w:w="990" w:type="pct"/>
            <w:vMerge w:val="continue"/>
          </w:tcPr>
          <w:p>
            <w:pPr>
              <w:rPr>
                <w:b/>
                <w:color w:val="auto"/>
                <w:highlight w:val="none"/>
              </w:rPr>
            </w:pPr>
          </w:p>
        </w:tc>
        <w:tc>
          <w:tcPr>
            <w:tcW w:w="336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646" w:type="pct"/>
            <w:vMerge w:val="continue"/>
            <w:vAlign w:val="center"/>
          </w:tcPr>
          <w:p>
            <w:pPr>
              <w:jc w:val="center"/>
              <w:rPr>
                <w:color w:val="auto"/>
                <w:highlight w:val="none"/>
              </w:rPr>
            </w:pPr>
          </w:p>
        </w:tc>
        <w:tc>
          <w:tcPr>
            <w:tcW w:w="990" w:type="pct"/>
            <w:vMerge w:val="continue"/>
          </w:tcPr>
          <w:p>
            <w:pPr>
              <w:rPr>
                <w:b/>
                <w:color w:val="auto"/>
                <w:highlight w:val="none"/>
              </w:rPr>
            </w:pPr>
          </w:p>
        </w:tc>
        <w:tc>
          <w:tcPr>
            <w:tcW w:w="336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tabs>
          <w:tab w:val="left" w:pos="1260"/>
        </w:tabs>
        <w:spacing w:line="400" w:lineRule="exact"/>
        <w:rPr>
          <w:bCs/>
          <w:szCs w:val="21"/>
        </w:rPr>
      </w:pPr>
    </w:p>
    <w:p>
      <w:pPr>
        <w:pStyle w:val="2"/>
        <w:ind w:left="0" w:leftChars="0" w:firstLine="0" w:firstLineChars="0"/>
        <w:rPr>
          <w:bCs/>
          <w:szCs w:val="21"/>
        </w:rPr>
      </w:pPr>
    </w:p>
    <w:p>
      <w:pPr>
        <w:pStyle w:val="2"/>
        <w:rPr>
          <w:bCs/>
          <w:szCs w:val="21"/>
        </w:rPr>
      </w:pPr>
    </w:p>
    <w:p>
      <w:pPr>
        <w:pStyle w:val="21"/>
        <w:keepNext w:val="0"/>
        <w:keepLines w:val="0"/>
        <w:pageBreakBefore w:val="0"/>
        <w:widowControl w:val="0"/>
        <w:numPr>
          <w:ilvl w:val="0"/>
          <w:numId w:val="2"/>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bookmarkStart w:id="0" w:name="_Toc18222"/>
      <w:r>
        <w:rPr>
          <w:rFonts w:hint="eastAsia" w:ascii="宋体" w:hAnsi="宋体" w:eastAsia="宋体" w:cs="Times New Roman"/>
          <w:b/>
          <w:bCs w:val="0"/>
          <w:kern w:val="2"/>
          <w:sz w:val="24"/>
          <w:szCs w:val="24"/>
          <w:lang w:val="en-US" w:eastAsia="zh-CN" w:bidi="ar-SA"/>
        </w:rPr>
        <w:t>综合评分表</w:t>
      </w:r>
      <w:bookmarkEnd w:id="0"/>
    </w:p>
    <w:p>
      <w:pPr>
        <w:numPr>
          <w:ilvl w:val="0"/>
          <w:numId w:val="0"/>
        </w:numPr>
        <w:rPr>
          <w:rFonts w:hint="eastAsia"/>
          <w:lang w:val="en-US" w:eastAsia="zh-CN"/>
        </w:rPr>
      </w:pPr>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3"/>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default" w:eastAsia="宋体"/>
                <w:color w:val="auto"/>
                <w:highlight w:val="none"/>
                <w:lang w:val="en-US" w:eastAsia="zh-CN"/>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扣完为止。</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tabs>
          <w:tab w:val="left" w:pos="1260"/>
        </w:tabs>
        <w:spacing w:line="400" w:lineRule="exact"/>
        <w:rPr>
          <w:bCs/>
          <w:szCs w:val="21"/>
        </w:rPr>
      </w:pPr>
    </w:p>
    <w:p>
      <w:pPr>
        <w:tabs>
          <w:tab w:val="left" w:pos="1260"/>
        </w:tabs>
        <w:spacing w:line="400" w:lineRule="exact"/>
        <w:rPr>
          <w:bCs/>
          <w:szCs w:val="21"/>
        </w:rPr>
      </w:pPr>
    </w:p>
    <w:sectPr>
      <w:footerReference r:id="rId3" w:type="default"/>
      <w:footerReference r:id="rId4" w:type="even"/>
      <w:pgSz w:w="11907" w:h="16840"/>
      <w:pgMar w:top="1440" w:right="1080" w:bottom="1440" w:left="108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Yu Gothic UI Semilight"/>
    <w:panose1 w:val="020B0406020202030204"/>
    <w:charset w:val="00"/>
    <w:family w:val="swiss"/>
    <w:pitch w:val="default"/>
    <w:sig w:usb0="00000000" w:usb1="00000000" w:usb2="00000000" w:usb3="00000000" w:csb0="0000001B" w:csb1="00000000"/>
  </w:font>
  <w:font w:name="Yu Gothic UI Semilight">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E32F8E75"/>
    <w:multiLevelType w:val="singleLevel"/>
    <w:tmpl w:val="E32F8E75"/>
    <w:lvl w:ilvl="0" w:tentative="0">
      <w:start w:val="7"/>
      <w:numFmt w:val="chineseCounting"/>
      <w:suff w:val="nothing"/>
      <w:lvlText w:val="%1．"/>
      <w:lvlJc w:val="left"/>
      <w:rPr>
        <w:rFonts w:hint="eastAsia"/>
      </w:r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8C073A3"/>
    <w:rsid w:val="09FE7641"/>
    <w:rsid w:val="0AD31734"/>
    <w:rsid w:val="0FB06823"/>
    <w:rsid w:val="13AB1E25"/>
    <w:rsid w:val="13BE4524"/>
    <w:rsid w:val="149A5357"/>
    <w:rsid w:val="1A180936"/>
    <w:rsid w:val="1A807061"/>
    <w:rsid w:val="1D2B2FE6"/>
    <w:rsid w:val="1E4B2B82"/>
    <w:rsid w:val="1E6F7F00"/>
    <w:rsid w:val="20C13A8E"/>
    <w:rsid w:val="21A73358"/>
    <w:rsid w:val="2F67542B"/>
    <w:rsid w:val="31BF3637"/>
    <w:rsid w:val="35D5260B"/>
    <w:rsid w:val="36737028"/>
    <w:rsid w:val="36BA51B0"/>
    <w:rsid w:val="386631B3"/>
    <w:rsid w:val="3ACD1190"/>
    <w:rsid w:val="3ADB1C34"/>
    <w:rsid w:val="3BEB050A"/>
    <w:rsid w:val="42F01BC1"/>
    <w:rsid w:val="452308D7"/>
    <w:rsid w:val="4E7C753F"/>
    <w:rsid w:val="505134AB"/>
    <w:rsid w:val="51EA72D5"/>
    <w:rsid w:val="5279537C"/>
    <w:rsid w:val="52B9434F"/>
    <w:rsid w:val="54863D9F"/>
    <w:rsid w:val="552E4C16"/>
    <w:rsid w:val="56450116"/>
    <w:rsid w:val="579A513A"/>
    <w:rsid w:val="57E55E07"/>
    <w:rsid w:val="598E0A22"/>
    <w:rsid w:val="5AAD5871"/>
    <w:rsid w:val="5D6B104C"/>
    <w:rsid w:val="5EB631EE"/>
    <w:rsid w:val="5EBA1DB1"/>
    <w:rsid w:val="6010702F"/>
    <w:rsid w:val="61077277"/>
    <w:rsid w:val="61202D75"/>
    <w:rsid w:val="631753EB"/>
    <w:rsid w:val="6405305E"/>
    <w:rsid w:val="6442037E"/>
    <w:rsid w:val="65147B6C"/>
    <w:rsid w:val="69177DC5"/>
    <w:rsid w:val="6C9705C3"/>
    <w:rsid w:val="6CC81DB0"/>
    <w:rsid w:val="6D1D3B63"/>
    <w:rsid w:val="6E887300"/>
    <w:rsid w:val="6F0027AD"/>
    <w:rsid w:val="6F743592"/>
    <w:rsid w:val="71585AAE"/>
    <w:rsid w:val="7A693425"/>
    <w:rsid w:val="7AFD4038"/>
    <w:rsid w:val="7B84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Revision"/>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3565</Words>
  <Characters>3711</Characters>
  <Lines>27</Lines>
  <Paragraphs>7</Paragraphs>
  <TotalTime>2</TotalTime>
  <ScaleCrop>false</ScaleCrop>
  <LinksUpToDate>false</LinksUpToDate>
  <CharactersWithSpaces>3723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2022-04-12T00:59:30Z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9A1F04C7420C4B5081B7E893E636C629</vt:lpwstr>
  </property>
</Properties>
</file>