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lang w:val="en-US" w:eastAsia="zh-CN"/>
        </w:rPr>
        <w:t>电子屏更新及</w:t>
      </w:r>
      <w:r>
        <w:rPr>
          <w:rFonts w:hint="eastAsia"/>
          <w:b/>
          <w:sz w:val="36"/>
        </w:rPr>
        <w:t>维保服务</w:t>
      </w:r>
    </w:p>
    <w:p>
      <w:pPr>
        <w:pStyle w:val="3"/>
        <w:numPr>
          <w:ilvl w:val="0"/>
          <w:numId w:val="2"/>
        </w:numPr>
        <w:rPr>
          <w:sz w:val="28"/>
          <w:szCs w:val="28"/>
        </w:rPr>
      </w:pPr>
      <w:r>
        <w:rPr>
          <w:rFonts w:hint="eastAsia"/>
          <w:sz w:val="28"/>
          <w:szCs w:val="28"/>
        </w:rPr>
        <w:t>项目背景</w:t>
      </w:r>
    </w:p>
    <w:p>
      <w:pPr>
        <w:adjustRightInd w:val="0"/>
        <w:snapToGrid w:val="0"/>
        <w:spacing w:line="360" w:lineRule="auto"/>
        <w:ind w:firstLine="480" w:firstLineChars="200"/>
        <w:jc w:val="left"/>
        <w:rPr>
          <w:rFonts w:ascii="宋体" w:hAnsi="宋体" w:eastAsia="宋体"/>
          <w:sz w:val="24"/>
          <w:szCs w:val="28"/>
        </w:rPr>
      </w:pPr>
      <w:r>
        <w:rPr>
          <w:rFonts w:hint="eastAsia" w:ascii="宋体" w:hAnsi="宋体" w:eastAsia="宋体"/>
          <w:sz w:val="24"/>
          <w:szCs w:val="28"/>
        </w:rPr>
        <w:t>医院现有多媒体信息发布大屏、LED点阵屏及全彩屏、</w:t>
      </w:r>
      <w:bookmarkStart w:id="1" w:name="_GoBack"/>
      <w:bookmarkEnd w:id="1"/>
      <w:r>
        <w:rPr>
          <w:rFonts w:hint="eastAsia" w:ascii="宋体" w:hAnsi="宋体" w:eastAsia="宋体"/>
          <w:sz w:val="24"/>
          <w:szCs w:val="28"/>
        </w:rPr>
        <w:t>诊室门口屏、电梯厅信息屏、触摸查询、宣教信息屏等信息发布屏是在2017年投入使用至今，设备故障率高且故障数量多，多数屏伴随着有黑屏、花屏现象，大部分已无法正常使用，因此结合医院的运营实际情况，需要将此类设备进行维保外包，将故障屏进行维修或更新，同时确保现有大屏正常使用。</w:t>
      </w:r>
    </w:p>
    <w:p>
      <w:pPr>
        <w:pStyle w:val="3"/>
        <w:numPr>
          <w:ilvl w:val="0"/>
          <w:numId w:val="2"/>
        </w:numPr>
        <w:rPr>
          <w:rFonts w:hint="eastAsia"/>
          <w:sz w:val="28"/>
          <w:szCs w:val="28"/>
        </w:rPr>
      </w:pPr>
      <w:r>
        <w:rPr>
          <w:rFonts w:hint="eastAsia"/>
          <w:sz w:val="28"/>
          <w:szCs w:val="28"/>
        </w:rPr>
        <w:t>项目维护清单</w:t>
      </w:r>
    </w:p>
    <w:tbl>
      <w:tblPr>
        <w:tblStyle w:val="10"/>
        <w:tblW w:w="0" w:type="auto"/>
        <w:tblInd w:w="108" w:type="dxa"/>
        <w:tblLayout w:type="autofit"/>
        <w:tblCellMar>
          <w:top w:w="0" w:type="dxa"/>
          <w:left w:w="108" w:type="dxa"/>
          <w:bottom w:w="0" w:type="dxa"/>
          <w:right w:w="108" w:type="dxa"/>
        </w:tblCellMar>
      </w:tblPr>
      <w:tblGrid>
        <w:gridCol w:w="417"/>
        <w:gridCol w:w="1143"/>
        <w:gridCol w:w="6854"/>
      </w:tblGrid>
      <w:tr>
        <w:tblPrEx>
          <w:tblCellMar>
            <w:top w:w="0" w:type="dxa"/>
            <w:left w:w="108" w:type="dxa"/>
            <w:bottom w:w="0" w:type="dxa"/>
            <w:right w:w="108" w:type="dxa"/>
          </w:tblCellMar>
        </w:tblPrEx>
        <w:trPr>
          <w:trHeight w:val="20" w:hRule="atLeast"/>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1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服务内容</w:t>
            </w:r>
          </w:p>
        </w:tc>
        <w:tc>
          <w:tcPr>
            <w:tcW w:w="68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详细要求</w:t>
            </w:r>
          </w:p>
        </w:tc>
      </w:tr>
      <w:tr>
        <w:tblPrEx>
          <w:tblCellMar>
            <w:top w:w="0" w:type="dxa"/>
            <w:left w:w="108" w:type="dxa"/>
            <w:bottom w:w="0" w:type="dxa"/>
            <w:right w:w="108" w:type="dxa"/>
          </w:tblCellMar>
        </w:tblPrEx>
        <w:trPr>
          <w:trHeight w:val="20" w:hRule="atLeast"/>
        </w:trPr>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1</w:t>
            </w:r>
          </w:p>
        </w:tc>
        <w:tc>
          <w:tcPr>
            <w:tcW w:w="11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维护工作要求</w:t>
            </w:r>
          </w:p>
        </w:tc>
        <w:tc>
          <w:tcPr>
            <w:tcW w:w="6854"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1、服务商需具备本项目设备的维护经验，服务商派遣的维护人员需对本项目范围的各种终端如：LED大屏、广告屏、门口屏等设备的运作非常熟悉，能独立解决运行过程中的各种突发性问题。</w:t>
            </w:r>
          </w:p>
        </w:tc>
      </w:tr>
      <w:tr>
        <w:tblPrEx>
          <w:tblCellMar>
            <w:top w:w="0" w:type="dxa"/>
            <w:left w:w="108" w:type="dxa"/>
            <w:bottom w:w="0" w:type="dxa"/>
            <w:right w:w="108" w:type="dxa"/>
          </w:tblCellMar>
        </w:tblPrEx>
        <w:trPr>
          <w:trHeight w:val="2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1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54"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2、服务商需设立全天维护专用值班电话，并保证24小时通讯畅通，发现故障或接到故障通知时，快速响应，立即抢修。</w:t>
            </w:r>
          </w:p>
        </w:tc>
      </w:tr>
      <w:tr>
        <w:trPr>
          <w:trHeight w:val="2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1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54"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3、服务商每月对维护范围内的设备进行现场巡视，发现故障苗头立即上报医院管理方，并安排修复。建立完善的维护工作报告、统计等管理制度和设备档案。</w:t>
            </w:r>
          </w:p>
        </w:tc>
      </w:tr>
      <w:tr>
        <w:tblPrEx>
          <w:tblCellMar>
            <w:top w:w="0" w:type="dxa"/>
            <w:left w:w="108" w:type="dxa"/>
            <w:bottom w:w="0" w:type="dxa"/>
            <w:right w:w="108" w:type="dxa"/>
          </w:tblCellMar>
        </w:tblPrEx>
        <w:trPr>
          <w:trHeight w:val="2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1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54"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0"/>
                <w:szCs w:val="20"/>
              </w:rPr>
            </w:pPr>
            <w:bookmarkStart w:id="0" w:name="RANGE!C5"/>
            <w:r>
              <w:rPr>
                <w:rFonts w:hint="eastAsia" w:ascii="宋体" w:hAnsi="宋体" w:eastAsia="宋体" w:cs="宋体"/>
                <w:color w:val="000000"/>
                <w:kern w:val="0"/>
                <w:sz w:val="20"/>
                <w:szCs w:val="20"/>
              </w:rPr>
              <w:t>4、对意外事件（如自然损毁、意外损坏、被盗等）等原因造成的设备损坏或遗失等情况，服务商可提供有偿的修复服务。</w:t>
            </w:r>
            <w:bookmarkEnd w:id="0"/>
          </w:p>
        </w:tc>
      </w:tr>
      <w:tr>
        <w:tblPrEx>
          <w:tblCellMar>
            <w:top w:w="0" w:type="dxa"/>
            <w:left w:w="108" w:type="dxa"/>
            <w:bottom w:w="0" w:type="dxa"/>
            <w:right w:w="108" w:type="dxa"/>
          </w:tblCellMar>
        </w:tblPrEx>
        <w:trPr>
          <w:trHeight w:val="2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1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54"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5、对于管理方信息终端仍在免费质保期内的设备，如设备发生故障、被盗、被撞及其他意外受损时，服务商通知相关单位/厂商进行修复。</w:t>
            </w:r>
          </w:p>
        </w:tc>
      </w:tr>
      <w:tr>
        <w:tblPrEx>
          <w:tblCellMar>
            <w:top w:w="0" w:type="dxa"/>
            <w:left w:w="108" w:type="dxa"/>
            <w:bottom w:w="0" w:type="dxa"/>
            <w:right w:w="108" w:type="dxa"/>
          </w:tblCellMar>
        </w:tblPrEx>
        <w:trPr>
          <w:trHeight w:val="2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1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54" w:type="dxa"/>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6、服务商在签订维护合同后一个月内及维护期终止前一个月内对本项目所有设备运行情况各进行一次全面检查和资产排查。</w:t>
            </w:r>
          </w:p>
        </w:tc>
      </w:tr>
      <w:tr>
        <w:tblPrEx>
          <w:tblCellMar>
            <w:top w:w="0" w:type="dxa"/>
            <w:left w:w="108" w:type="dxa"/>
            <w:bottom w:w="0" w:type="dxa"/>
            <w:right w:w="108" w:type="dxa"/>
          </w:tblCellMar>
        </w:tblPrEx>
        <w:trPr>
          <w:trHeight w:val="2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1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7、服务商为本项目免费提供一套多媒体医疗导引系统管理软件，可适配医院信息发布硬件设备使用；</w:t>
            </w:r>
          </w:p>
        </w:tc>
      </w:tr>
      <w:tr>
        <w:tblPrEx>
          <w:tblCellMar>
            <w:top w:w="0" w:type="dxa"/>
            <w:left w:w="108" w:type="dxa"/>
            <w:bottom w:w="0" w:type="dxa"/>
            <w:right w:w="108" w:type="dxa"/>
          </w:tblCellMar>
        </w:tblPrEx>
        <w:trPr>
          <w:trHeight w:val="2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1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8、服务商为本项目免费提供一套触摸查询软件，可适配医院信息发布硬件设备使用；</w:t>
            </w:r>
          </w:p>
        </w:tc>
      </w:tr>
      <w:tr>
        <w:trPr>
          <w:trHeight w:val="20" w:hRule="atLeast"/>
        </w:trPr>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2</w:t>
            </w:r>
          </w:p>
        </w:tc>
        <w:tc>
          <w:tcPr>
            <w:tcW w:w="11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后援技术支持服务</w:t>
            </w: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1、为确保遇到重大故障能及时处理，除现场维护工程师外，服务商应有较强的后援技术团队，能及时协助解决现场工程师不能解决的问题。</w:t>
            </w:r>
          </w:p>
        </w:tc>
      </w:tr>
      <w:tr>
        <w:trPr>
          <w:trHeight w:val="2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1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2、对于每次应急响应，服务商应保存现场资料，分析产生问题的原因，记录维护使用的方法、步骤和参数，制定防止类似问题发生的解决方法。</w:t>
            </w:r>
          </w:p>
        </w:tc>
      </w:tr>
      <w:tr>
        <w:tblPrEx>
          <w:tblCellMar>
            <w:top w:w="0" w:type="dxa"/>
            <w:left w:w="108" w:type="dxa"/>
            <w:bottom w:w="0" w:type="dxa"/>
            <w:right w:w="108" w:type="dxa"/>
          </w:tblCellMar>
        </w:tblPrEx>
        <w:trPr>
          <w:trHeight w:val="20" w:hRule="atLeast"/>
        </w:trPr>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3</w:t>
            </w:r>
          </w:p>
        </w:tc>
        <w:tc>
          <w:tcPr>
            <w:tcW w:w="114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项目质量管理要求</w:t>
            </w: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1、服务单位应严格将文档管理贯穿于整个项目全过程中。文档提交及文档质量将作为采购方考核的重要依据。维修、巡检、保养需详细记录。</w:t>
            </w:r>
          </w:p>
        </w:tc>
      </w:tr>
      <w:tr>
        <w:tblPrEx>
          <w:tblCellMar>
            <w:top w:w="0" w:type="dxa"/>
            <w:left w:w="108" w:type="dxa"/>
            <w:bottom w:w="0" w:type="dxa"/>
            <w:right w:w="108" w:type="dxa"/>
          </w:tblCellMar>
        </w:tblPrEx>
        <w:trPr>
          <w:trHeight w:val="2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1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2、服务公司需定期对现场服务人员进行与本项目维护内容相关的培训，包括项目运行维护工作流程、响应、技能及应急服务培训等。</w:t>
            </w:r>
          </w:p>
        </w:tc>
      </w:tr>
      <w:tr>
        <w:trPr>
          <w:trHeight w:val="2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1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服务单位需提供服务监督及评价机制，提供服务统计及故障分析。服务单位提供现场服务人员工作量考核机制、服务统计及故障分析数据，接受管理和监督，并向采购方及时提交《服务报告》、《总结报告》、《维修记录单》等文档。</w:t>
            </w:r>
          </w:p>
        </w:tc>
      </w:tr>
      <w:tr>
        <w:tblPrEx>
          <w:tblCellMar>
            <w:top w:w="0" w:type="dxa"/>
            <w:left w:w="108" w:type="dxa"/>
            <w:bottom w:w="0" w:type="dxa"/>
            <w:right w:w="108" w:type="dxa"/>
          </w:tblCellMar>
        </w:tblPrEx>
        <w:trPr>
          <w:trHeight w:val="2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1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为确保现场服务人员的服务质量，服务单位应具备完善的人员及服务监管机制，因此要求服务公司监管人员不定期对现场驻点情况进行巡查和工作指导，监管人员需具有信息系统项目管理师和信息系统监理师资格证书</w:t>
            </w:r>
          </w:p>
        </w:tc>
      </w:tr>
      <w:tr>
        <w:tblPrEx>
          <w:tblCellMar>
            <w:top w:w="0" w:type="dxa"/>
            <w:left w:w="108" w:type="dxa"/>
            <w:bottom w:w="0" w:type="dxa"/>
            <w:right w:w="108" w:type="dxa"/>
          </w:tblCellMar>
        </w:tblPrEx>
        <w:trPr>
          <w:trHeight w:val="2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1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5、服务期满后，院方有权根据医院实际情况重新招标服务商，现有服务商应无条件配合院方，做好服务项目的无缝交接，移交已完成的相关项目文档及服务记录等文件。</w:t>
            </w:r>
          </w:p>
        </w:tc>
      </w:tr>
      <w:tr>
        <w:tblPrEx>
          <w:tblCellMar>
            <w:top w:w="0" w:type="dxa"/>
            <w:left w:w="108" w:type="dxa"/>
            <w:bottom w:w="0" w:type="dxa"/>
            <w:right w:w="108" w:type="dxa"/>
          </w:tblCellMar>
        </w:tblPrEx>
        <w:trPr>
          <w:trHeight w:val="20" w:hRule="atLeast"/>
        </w:trPr>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1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电梯厅竖屏</w:t>
            </w:r>
            <w:r>
              <w:rPr>
                <w:rFonts w:hint="eastAsia" w:ascii="宋体" w:hAnsi="宋体" w:eastAsia="宋体" w:cs="宋体"/>
                <w:color w:val="000000"/>
                <w:kern w:val="0"/>
                <w:sz w:val="20"/>
                <w:szCs w:val="20"/>
              </w:rPr>
              <w:t>维修及更新服务</w:t>
            </w: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1、为全院</w:t>
            </w:r>
            <w:r>
              <w:rPr>
                <w:rFonts w:hint="default" w:ascii="宋体" w:hAnsi="宋体" w:eastAsia="宋体" w:cs="宋体"/>
                <w:color w:val="000000"/>
                <w:kern w:val="0"/>
                <w:sz w:val="20"/>
                <w:szCs w:val="20"/>
                <w:lang w:val="en-US"/>
              </w:rPr>
              <w:t>70</w:t>
            </w:r>
            <w:r>
              <w:rPr>
                <w:rFonts w:hint="eastAsia" w:ascii="宋体" w:hAnsi="宋体" w:eastAsia="宋体" w:cs="宋体"/>
                <w:color w:val="000000"/>
                <w:kern w:val="0"/>
                <w:sz w:val="20"/>
                <w:szCs w:val="20"/>
                <w:lang w:val="en-US" w:eastAsia="zh-CN"/>
              </w:rPr>
              <w:t>台</w:t>
            </w:r>
            <w:r>
              <w:rPr>
                <w:rFonts w:hint="eastAsia" w:ascii="宋体" w:hAnsi="宋体" w:cs="宋体"/>
                <w:color w:val="000000"/>
                <w:kern w:val="0"/>
                <w:sz w:val="20"/>
                <w:szCs w:val="20"/>
              </w:rPr>
              <w:t>电梯厅竖屏</w:t>
            </w:r>
            <w:r>
              <w:rPr>
                <w:rFonts w:hint="eastAsia" w:ascii="宋体" w:hAnsi="宋体" w:eastAsia="宋体" w:cs="宋体"/>
                <w:color w:val="000000"/>
                <w:kern w:val="0"/>
                <w:sz w:val="20"/>
                <w:szCs w:val="20"/>
              </w:rPr>
              <w:t>提供一年期的软硬件维保服务，确保设备的正常使用；</w:t>
            </w:r>
          </w:p>
        </w:tc>
      </w:tr>
      <w:tr>
        <w:trPr>
          <w:trHeight w:val="2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2、为全院故障的</w:t>
            </w:r>
            <w:r>
              <w:rPr>
                <w:rFonts w:hint="eastAsia" w:ascii="宋体" w:hAnsi="宋体" w:eastAsia="宋体" w:cs="宋体"/>
                <w:color w:val="000000"/>
                <w:kern w:val="0"/>
                <w:sz w:val="20"/>
                <w:szCs w:val="20"/>
                <w:lang w:val="en-US" w:eastAsia="zh-CN"/>
              </w:rPr>
              <w:t>42台</w:t>
            </w:r>
            <w:r>
              <w:rPr>
                <w:rFonts w:hint="eastAsia" w:ascii="宋体" w:hAnsi="宋体" w:cs="宋体"/>
                <w:color w:val="000000"/>
                <w:kern w:val="0"/>
                <w:sz w:val="20"/>
                <w:szCs w:val="20"/>
              </w:rPr>
              <w:t>电梯厅竖屏</w:t>
            </w:r>
            <w:r>
              <w:rPr>
                <w:rFonts w:hint="eastAsia" w:ascii="宋体" w:hAnsi="宋体" w:eastAsia="宋体" w:cs="宋体"/>
                <w:color w:val="000000"/>
                <w:kern w:val="0"/>
                <w:sz w:val="20"/>
                <w:szCs w:val="20"/>
              </w:rPr>
              <w:t>提供维修服务，如不能维修的提供以旧换新服务（全年换新不低于</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2台），换新的设备不得低于如下规格：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2.1.CPU：4核1.5G,GPU：2核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2.2.内存：2GB,EMMC 8GB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2.3.显示驱动：LVDS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2.4.定时控制：RTC时钟控制，设备采用医院统一时间源授时，支持定时开关机，支持定时下载、定时播放、下载限速、断点续传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2.5.系统：Android6.0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2.6.尺寸：49</w:t>
            </w:r>
            <w:r>
              <w:rPr>
                <w:rFonts w:hint="eastAsia" w:ascii="宋体" w:hAnsi="宋体" w:eastAsia="宋体" w:cs="宋体"/>
                <w:color w:val="000000"/>
                <w:kern w:val="0"/>
                <w:sz w:val="20"/>
                <w:szCs w:val="20"/>
                <w:lang w:eastAsia="zh-CN"/>
              </w:rPr>
              <w:t>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2.7. 屏显比例：16：9</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2.8. 分辨率：1920*1080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2.9、具备CCC认证证书和节能证书,软硬件为同一品牌</w:t>
            </w:r>
          </w:p>
        </w:tc>
      </w:tr>
      <w:tr>
        <w:tblPrEx>
          <w:tblCellMar>
            <w:top w:w="0" w:type="dxa"/>
            <w:left w:w="108" w:type="dxa"/>
            <w:bottom w:w="0" w:type="dxa"/>
            <w:right w:w="108" w:type="dxa"/>
          </w:tblCellMar>
        </w:tblPrEx>
        <w:trPr>
          <w:trHeight w:val="20" w:hRule="atLeast"/>
        </w:trPr>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1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门诊诊室小屏</w:t>
            </w:r>
            <w:r>
              <w:rPr>
                <w:rFonts w:hint="eastAsia" w:ascii="宋体" w:hAnsi="宋体" w:eastAsia="宋体" w:cs="宋体"/>
                <w:color w:val="000000"/>
                <w:kern w:val="0"/>
                <w:sz w:val="20"/>
                <w:szCs w:val="20"/>
              </w:rPr>
              <w:t>维修及更新服务</w:t>
            </w: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1、为全院</w:t>
            </w:r>
            <w:r>
              <w:rPr>
                <w:rFonts w:hint="eastAsia" w:ascii="宋体" w:hAnsi="宋体" w:eastAsia="宋体" w:cs="宋体"/>
                <w:color w:val="000000"/>
                <w:kern w:val="0"/>
                <w:sz w:val="20"/>
                <w:szCs w:val="20"/>
                <w:lang w:val="en-US" w:eastAsia="zh-CN"/>
              </w:rPr>
              <w:t>57台</w:t>
            </w:r>
            <w:r>
              <w:rPr>
                <w:rFonts w:hint="eastAsia" w:ascii="宋体" w:hAnsi="宋体" w:cs="宋体"/>
                <w:color w:val="000000"/>
                <w:kern w:val="0"/>
                <w:sz w:val="20"/>
                <w:szCs w:val="20"/>
              </w:rPr>
              <w:t>诊室小屏</w:t>
            </w:r>
            <w:r>
              <w:rPr>
                <w:rFonts w:hint="eastAsia" w:ascii="宋体" w:hAnsi="宋体" w:eastAsia="宋体" w:cs="宋体"/>
                <w:color w:val="000000"/>
                <w:kern w:val="0"/>
                <w:sz w:val="20"/>
                <w:szCs w:val="20"/>
              </w:rPr>
              <w:t>（诊室门口）提供一年期的软硬件维保服务，确保设备的正常使用；</w:t>
            </w:r>
          </w:p>
        </w:tc>
      </w:tr>
      <w:tr>
        <w:tblPrEx>
          <w:tblCellMar>
            <w:top w:w="0" w:type="dxa"/>
            <w:left w:w="108" w:type="dxa"/>
            <w:bottom w:w="0" w:type="dxa"/>
            <w:right w:w="108" w:type="dxa"/>
          </w:tblCellMar>
        </w:tblPrEx>
        <w:trPr>
          <w:trHeight w:val="2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2、为全院故障的</w:t>
            </w:r>
            <w:r>
              <w:rPr>
                <w:rFonts w:hint="eastAsia" w:ascii="宋体" w:hAnsi="宋体" w:cs="宋体"/>
                <w:color w:val="000000"/>
                <w:kern w:val="0"/>
                <w:sz w:val="20"/>
                <w:szCs w:val="20"/>
              </w:rPr>
              <w:t>诊室小屏</w:t>
            </w:r>
            <w:r>
              <w:rPr>
                <w:rFonts w:hint="eastAsia" w:ascii="宋体" w:hAnsi="宋体" w:cs="宋体"/>
                <w:color w:val="000000"/>
                <w:kern w:val="0"/>
                <w:sz w:val="20"/>
                <w:szCs w:val="20"/>
                <w:lang w:val="en-US" w:eastAsia="zh-CN"/>
              </w:rPr>
              <w:t>2台</w:t>
            </w:r>
            <w:r>
              <w:rPr>
                <w:rFonts w:hint="eastAsia" w:ascii="宋体" w:hAnsi="宋体" w:eastAsia="宋体" w:cs="宋体"/>
                <w:color w:val="000000"/>
                <w:kern w:val="0"/>
                <w:sz w:val="20"/>
                <w:szCs w:val="20"/>
              </w:rPr>
              <w:t>提供维修服务，如不能维修的提供以旧换新服务（全年换新不低于2台），换新的设备不得低于如下规格：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2.1、CPU:四核，1.3GHZ 3、GPU：2核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2.2、内存：1GB,eMMC 8G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2.3、视频引擎：MStarMACE-Pro3UC+超清画质引擎</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2.4、尺寸：19英寸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2.5、分辨率：1366 x 768</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2.6、具备CCC认证证书和节能证书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2.7、与分诊系统做对接，接入至现有分诊叫号平台内，含接口定制开发费；</w:t>
            </w:r>
          </w:p>
        </w:tc>
      </w:tr>
      <w:tr>
        <w:tblPrEx>
          <w:tblCellMar>
            <w:top w:w="0" w:type="dxa"/>
            <w:left w:w="108" w:type="dxa"/>
            <w:bottom w:w="0" w:type="dxa"/>
            <w:right w:w="108" w:type="dxa"/>
          </w:tblCellMar>
        </w:tblPrEx>
        <w:trPr>
          <w:trHeight w:val="20" w:hRule="atLeast"/>
        </w:trPr>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1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落地查询机维修及更新服务</w:t>
            </w: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1、为全院落地查询机提供一年期的软硬件维保服务，确保设备的正常使用；</w:t>
            </w:r>
          </w:p>
        </w:tc>
      </w:tr>
      <w:tr>
        <w:trPr>
          <w:trHeight w:val="2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2、为全院</w:t>
            </w:r>
            <w:r>
              <w:rPr>
                <w:rFonts w:hint="eastAsia" w:ascii="宋体" w:hAnsi="宋体" w:eastAsia="宋体" w:cs="宋体"/>
                <w:color w:val="000000"/>
                <w:kern w:val="0"/>
                <w:sz w:val="20"/>
                <w:szCs w:val="20"/>
                <w:lang w:eastAsia="zh-CN"/>
              </w:rPr>
              <w:t>故障的</w:t>
            </w:r>
            <w:r>
              <w:rPr>
                <w:rFonts w:hint="eastAsia" w:ascii="宋体" w:hAnsi="宋体" w:eastAsia="宋体" w:cs="宋体"/>
                <w:color w:val="000000"/>
                <w:kern w:val="0"/>
                <w:sz w:val="20"/>
                <w:szCs w:val="20"/>
                <w:lang w:val="en-US" w:eastAsia="zh-CN"/>
              </w:rPr>
              <w:t>2台</w:t>
            </w:r>
            <w:r>
              <w:rPr>
                <w:rFonts w:hint="eastAsia" w:ascii="宋体" w:hAnsi="宋体" w:eastAsia="宋体" w:cs="宋体"/>
                <w:color w:val="000000"/>
                <w:kern w:val="0"/>
                <w:sz w:val="20"/>
                <w:szCs w:val="20"/>
              </w:rPr>
              <w:t>落地查询机提供维修服务，如不能维修的提供以旧换新服务（全年换新不低于2台），换新的设备不得低于如下规格：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2.1、CPU：Mstar MSD6A928 Cortex-17四核,GPU：4核Mali760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2.2、内存：2GB eMMC 8G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2.3、尺寸：49英寸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2.4、分辨率：1920 × 1080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2.5、亮度：380cd/m²</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2.6、具备CCC认证证书和节能证书</w:t>
            </w:r>
          </w:p>
        </w:tc>
      </w:tr>
      <w:tr>
        <w:tblPrEx>
          <w:tblCellMar>
            <w:top w:w="0" w:type="dxa"/>
            <w:left w:w="108" w:type="dxa"/>
            <w:bottom w:w="0" w:type="dxa"/>
            <w:right w:w="108" w:type="dxa"/>
          </w:tblCellMar>
        </w:tblPrEx>
        <w:trPr>
          <w:trHeight w:val="6240" w:hRule="atLeast"/>
        </w:trPr>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1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物价医保办</w:t>
            </w:r>
            <w:r>
              <w:rPr>
                <w:rFonts w:hint="eastAsia" w:ascii="宋体" w:hAnsi="宋体" w:eastAsia="宋体" w:cs="宋体"/>
                <w:color w:val="000000"/>
                <w:kern w:val="0"/>
                <w:sz w:val="20"/>
                <w:szCs w:val="20"/>
                <w:lang w:eastAsia="zh-CN"/>
              </w:rPr>
              <w:t>及门诊</w:t>
            </w:r>
            <w:r>
              <w:rPr>
                <w:rFonts w:hint="eastAsia" w:ascii="宋体" w:hAnsi="宋体" w:eastAsia="宋体" w:cs="宋体"/>
                <w:color w:val="000000"/>
                <w:kern w:val="0"/>
                <w:sz w:val="20"/>
                <w:szCs w:val="20"/>
              </w:rPr>
              <w:t>LED屏</w:t>
            </w:r>
            <w:r>
              <w:rPr>
                <w:rFonts w:hint="eastAsia" w:ascii="宋体" w:hAnsi="宋体" w:eastAsia="宋体" w:cs="宋体"/>
                <w:color w:val="000000"/>
                <w:kern w:val="0"/>
                <w:sz w:val="20"/>
                <w:szCs w:val="20"/>
                <w:lang w:eastAsia="zh-CN"/>
              </w:rPr>
              <w:t>新增</w:t>
            </w:r>
            <w:r>
              <w:rPr>
                <w:rFonts w:hint="eastAsia" w:ascii="宋体" w:hAnsi="宋体" w:eastAsia="宋体" w:cs="宋体"/>
                <w:color w:val="000000"/>
                <w:kern w:val="0"/>
                <w:sz w:val="20"/>
                <w:szCs w:val="20"/>
              </w:rPr>
              <w:t>服务</w:t>
            </w: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、为物价医保办</w:t>
            </w:r>
            <w:r>
              <w:rPr>
                <w:rFonts w:hint="eastAsia" w:ascii="宋体" w:hAnsi="宋体" w:eastAsia="宋体" w:cs="宋体"/>
                <w:color w:val="000000"/>
                <w:kern w:val="0"/>
                <w:sz w:val="20"/>
                <w:szCs w:val="20"/>
                <w:lang w:eastAsia="zh-CN"/>
              </w:rPr>
              <w:t>展示物价服务及门诊专家义诊服务新增</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lang w:eastAsia="zh-CN"/>
              </w:rPr>
              <w:t>台</w:t>
            </w:r>
            <w:r>
              <w:rPr>
                <w:rFonts w:hint="eastAsia" w:ascii="宋体" w:hAnsi="宋体" w:eastAsia="宋体" w:cs="宋体"/>
                <w:color w:val="000000"/>
                <w:kern w:val="0"/>
                <w:sz w:val="20"/>
                <w:szCs w:val="20"/>
              </w:rPr>
              <w:t>LED屏</w:t>
            </w:r>
            <w:r>
              <w:rPr>
                <w:rFonts w:hint="eastAsia" w:ascii="宋体" w:hAnsi="宋体" w:eastAsia="宋体" w:cs="宋体"/>
                <w:color w:val="000000"/>
                <w:kern w:val="0"/>
                <w:sz w:val="20"/>
                <w:szCs w:val="20"/>
                <w:lang w:eastAsia="zh-CN"/>
              </w:rPr>
              <w:t>并</w:t>
            </w:r>
            <w:r>
              <w:rPr>
                <w:rFonts w:hint="eastAsia" w:ascii="宋体" w:hAnsi="宋体" w:eastAsia="宋体" w:cs="宋体"/>
                <w:color w:val="000000"/>
                <w:kern w:val="0"/>
                <w:sz w:val="20"/>
                <w:szCs w:val="20"/>
              </w:rPr>
              <w:t>提供</w:t>
            </w:r>
            <w:r>
              <w:rPr>
                <w:rFonts w:hint="eastAsia" w:ascii="宋体" w:hAnsi="宋体" w:eastAsia="宋体" w:cs="宋体"/>
                <w:color w:val="000000"/>
                <w:kern w:val="0"/>
                <w:sz w:val="20"/>
                <w:szCs w:val="20"/>
                <w:lang w:eastAsia="zh-CN"/>
              </w:rPr>
              <w:t>一年</w:t>
            </w:r>
            <w:r>
              <w:rPr>
                <w:rFonts w:hint="eastAsia" w:ascii="宋体" w:hAnsi="宋体" w:eastAsia="宋体" w:cs="宋体"/>
                <w:color w:val="000000"/>
                <w:kern w:val="0"/>
                <w:sz w:val="20"/>
                <w:szCs w:val="20"/>
              </w:rPr>
              <w:t>维修服务</w:t>
            </w:r>
            <w:r>
              <w:rPr>
                <w:rFonts w:hint="eastAsia" w:ascii="宋体" w:hAnsi="宋体" w:eastAsia="宋体" w:cs="宋体"/>
                <w:color w:val="000000"/>
                <w:kern w:val="0"/>
                <w:sz w:val="20"/>
                <w:szCs w:val="20"/>
                <w:lang w:eastAsia="zh-CN"/>
              </w:rPr>
              <w:t>，新增</w:t>
            </w:r>
            <w:r>
              <w:rPr>
                <w:rFonts w:hint="eastAsia" w:ascii="宋体" w:hAnsi="宋体" w:eastAsia="宋体" w:cs="宋体"/>
                <w:color w:val="000000"/>
                <w:kern w:val="0"/>
                <w:sz w:val="20"/>
                <w:szCs w:val="20"/>
              </w:rPr>
              <w:t>的设备不得低于如下规格：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.1.净显示面积为：0.9m（宽）×4.8m（高）=4.32㎡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.2.像素间距：2.5mm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.3.像素规格：SMD 2121</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.4.物理密度：160000点/㎡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.5.白平衡亮度：≥600cd/㎡</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.6.刷新频率:≥3840Hz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.7.发光点中心距偏差:≦0.9%（提供CNAS检测报告）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.8.视角：水平≥160°、垂直≥160°（提供CNAS检测报告）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.9.像素失控率：≤1/10000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.10.最大功耗：≤450W/㎡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.11.防火等级：PCB板、线材、电源、连接件、面罩均达到V0防火等级。（提供CNAS检测报告）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.12.色域标准：色域281万亿色，支持BT.2020、DCI.P3、BT.709、sRGB色域间转换。（提供CNAS检测报告）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.13.防反光：屏体正面为黑色亚光处理，反光率&lt;2%。（提供CNAS检测报告）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以上需求检测报告必须为CNAS机构认可的第三方权威检测报告，其他形式报告不做为相关依据。</w:t>
            </w:r>
          </w:p>
        </w:tc>
      </w:tr>
      <w:tr>
        <w:tblPrEx>
          <w:tblCellMar>
            <w:top w:w="0" w:type="dxa"/>
            <w:left w:w="108" w:type="dxa"/>
            <w:bottom w:w="0" w:type="dxa"/>
            <w:right w:w="108" w:type="dxa"/>
          </w:tblCellMar>
        </w:tblPrEx>
        <w:trPr>
          <w:trHeight w:val="2808" w:hRule="atLeast"/>
        </w:trPr>
        <w:tc>
          <w:tcPr>
            <w:tcW w:w="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8</w:t>
            </w:r>
          </w:p>
        </w:tc>
        <w:tc>
          <w:tcPr>
            <w:tcW w:w="11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机房LED屏</w:t>
            </w:r>
            <w:r>
              <w:rPr>
                <w:rFonts w:hint="eastAsia" w:ascii="宋体" w:hAnsi="宋体" w:eastAsia="宋体" w:cs="宋体"/>
                <w:color w:val="000000"/>
                <w:kern w:val="0"/>
                <w:sz w:val="20"/>
                <w:szCs w:val="20"/>
                <w:lang w:eastAsia="zh-CN"/>
              </w:rPr>
              <w:t>新增服务</w:t>
            </w: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w:t>
            </w:r>
            <w:r>
              <w:rPr>
                <w:rFonts w:hint="eastAsia" w:ascii="宋体" w:hAnsi="宋体" w:eastAsia="宋体" w:cs="宋体"/>
                <w:color w:val="000000"/>
                <w:kern w:val="0"/>
                <w:sz w:val="20"/>
                <w:szCs w:val="20"/>
                <w:lang w:eastAsia="zh-CN"/>
              </w:rPr>
              <w:t>满足</w:t>
            </w:r>
            <w:r>
              <w:rPr>
                <w:rFonts w:hint="eastAsia" w:ascii="宋体" w:hAnsi="宋体" w:eastAsia="宋体" w:cs="宋体"/>
                <w:color w:val="000000"/>
                <w:kern w:val="0"/>
                <w:sz w:val="20"/>
                <w:szCs w:val="20"/>
              </w:rPr>
              <w:t>机房</w:t>
            </w:r>
            <w:r>
              <w:rPr>
                <w:rFonts w:hint="eastAsia" w:ascii="宋体" w:hAnsi="宋体" w:eastAsia="宋体" w:cs="宋体"/>
                <w:color w:val="000000"/>
                <w:kern w:val="0"/>
                <w:sz w:val="20"/>
                <w:szCs w:val="20"/>
                <w:lang w:eastAsia="zh-CN"/>
              </w:rPr>
              <w:t>设备的监控检测及运行展示要求新增一台</w:t>
            </w:r>
            <w:r>
              <w:rPr>
                <w:rFonts w:hint="default" w:ascii="宋体" w:hAnsi="宋体" w:eastAsia="宋体" w:cs="宋体"/>
                <w:color w:val="000000"/>
                <w:kern w:val="0"/>
                <w:sz w:val="20"/>
                <w:szCs w:val="20"/>
                <w:lang w:val="en-US" w:eastAsia="zh-CN"/>
              </w:rPr>
              <w:t>3*2</w:t>
            </w:r>
            <w:r>
              <w:rPr>
                <w:rFonts w:hint="eastAsia" w:ascii="宋体" w:hAnsi="宋体" w:eastAsia="宋体" w:cs="宋体"/>
                <w:color w:val="000000"/>
                <w:kern w:val="0"/>
                <w:sz w:val="20"/>
                <w:szCs w:val="20"/>
                <w:lang w:val="en-US" w:eastAsia="zh-CN"/>
              </w:rPr>
              <w:t>的</w:t>
            </w:r>
            <w:r>
              <w:rPr>
                <w:rFonts w:hint="eastAsia" w:ascii="宋体" w:hAnsi="宋体" w:eastAsia="宋体" w:cs="宋体"/>
                <w:color w:val="000000"/>
                <w:kern w:val="0"/>
                <w:sz w:val="20"/>
                <w:szCs w:val="20"/>
              </w:rPr>
              <w:t>46英寸LED屏，设备不得低于如下规格：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1、点距：0.53（H）x0.53（V）</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.2、响应时间：4ms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3、色彩：8 BIT, 16.7 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.4、亮度：500 cd/ m2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.5、对比度：3500:1</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.6、色温：10000k</w:t>
            </w:r>
          </w:p>
        </w:tc>
      </w:tr>
      <w:tr>
        <w:tblPrEx>
          <w:tblCellMar>
            <w:top w:w="0" w:type="dxa"/>
            <w:left w:w="108" w:type="dxa"/>
            <w:bottom w:w="0" w:type="dxa"/>
            <w:right w:w="108" w:type="dxa"/>
          </w:tblCellMar>
        </w:tblPrEx>
        <w:trPr>
          <w:trHeight w:val="1248"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9</w:t>
            </w:r>
          </w:p>
        </w:tc>
        <w:tc>
          <w:tcPr>
            <w:tcW w:w="11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室外防疫广告机</w:t>
            </w:r>
            <w:r>
              <w:rPr>
                <w:rFonts w:hint="eastAsia" w:ascii="宋体" w:hAnsi="宋体" w:eastAsia="宋体" w:cs="宋体"/>
                <w:color w:val="000000"/>
                <w:kern w:val="0"/>
                <w:sz w:val="20"/>
                <w:szCs w:val="20"/>
                <w:lang w:eastAsia="zh-CN"/>
              </w:rPr>
              <w:t>新增</w:t>
            </w:r>
            <w:r>
              <w:rPr>
                <w:rFonts w:hint="eastAsia" w:ascii="宋体" w:hAnsi="宋体" w:eastAsia="宋体" w:cs="宋体"/>
                <w:color w:val="000000"/>
                <w:kern w:val="0"/>
                <w:sz w:val="20"/>
                <w:szCs w:val="20"/>
              </w:rPr>
              <w:t>服务</w:t>
            </w:r>
          </w:p>
        </w:tc>
        <w:tc>
          <w:tcPr>
            <w:tcW w:w="68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、为</w:t>
            </w:r>
            <w:r>
              <w:rPr>
                <w:rFonts w:hint="eastAsia" w:ascii="宋体" w:hAnsi="宋体" w:eastAsia="宋体" w:cs="宋体"/>
                <w:color w:val="000000"/>
                <w:kern w:val="0"/>
                <w:sz w:val="20"/>
                <w:szCs w:val="20"/>
                <w:lang w:eastAsia="zh-CN"/>
              </w:rPr>
              <w:t>满足疫情防控要求新增一台</w:t>
            </w:r>
            <w:r>
              <w:rPr>
                <w:rFonts w:hint="eastAsia" w:ascii="宋体" w:hAnsi="宋体" w:eastAsia="宋体" w:cs="宋体"/>
                <w:color w:val="000000"/>
                <w:kern w:val="0"/>
                <w:sz w:val="20"/>
                <w:szCs w:val="20"/>
                <w:lang w:val="en-US" w:eastAsia="zh-CN"/>
              </w:rPr>
              <w:t>55寸广告机</w:t>
            </w:r>
            <w:r>
              <w:rPr>
                <w:rFonts w:hint="eastAsia" w:ascii="宋体" w:hAnsi="宋体" w:eastAsia="宋体" w:cs="宋体"/>
                <w:color w:val="000000"/>
                <w:kern w:val="0"/>
                <w:sz w:val="20"/>
                <w:szCs w:val="20"/>
              </w:rPr>
              <w:t>，换新的设备尺寸不得低于55寸</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4"/>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1"/>
    <w:multiLevelType w:val="multilevel"/>
    <w:tmpl w:val="00000001"/>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ZjVkNDYzOTE4ZjYxNmM0YmNiNjkwZWM5NmU0ZTMifQ=="/>
  </w:docVars>
  <w:rsids>
    <w:rsidRoot w:val="00000000"/>
    <w:rsid w:val="6FB1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libri Light" w:hAnsi="Calibri Light" w:eastAsia="宋体" w:cs="宋体"/>
      <w:b/>
      <w:bCs/>
      <w:sz w:val="32"/>
      <w:szCs w:val="32"/>
    </w:rPr>
  </w:style>
  <w:style w:type="paragraph" w:styleId="4">
    <w:name w:val="heading 3"/>
    <w:basedOn w:val="1"/>
    <w:next w:val="1"/>
    <w:link w:val="20"/>
    <w:qFormat/>
    <w:uiPriority w:val="0"/>
    <w:pPr>
      <w:keepNext/>
      <w:keepLines/>
      <w:numPr>
        <w:ilvl w:val="0"/>
        <w:numId w:val="1"/>
      </w:numPr>
      <w:spacing w:before="260" w:after="260" w:line="416" w:lineRule="auto"/>
      <w:outlineLvl w:val="2"/>
    </w:pPr>
    <w:rPr>
      <w:b/>
      <w:bCs/>
      <w:sz w:val="32"/>
      <w:szCs w:val="32"/>
    </w:rPr>
  </w:style>
  <w:style w:type="paragraph" w:styleId="5">
    <w:name w:val="heading 4"/>
    <w:basedOn w:val="1"/>
    <w:next w:val="1"/>
    <w:link w:val="21"/>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6">
    <w:name w:val="annotation text"/>
    <w:basedOn w:val="1"/>
    <w:link w:val="23"/>
    <w:qFormat/>
    <w:uiPriority w:val="0"/>
    <w:pPr>
      <w:jc w:val="left"/>
    </w:pPr>
    <w:rPr>
      <w:rFonts w:ascii="Calibri" w:hAnsi="Calibri" w:eastAsia="宋体" w:cs="Calibri"/>
      <w:szCs w:val="21"/>
    </w:rPr>
  </w:style>
  <w:style w:type="paragraph" w:styleId="7">
    <w:name w:val="Body Text"/>
    <w:basedOn w:val="1"/>
    <w:link w:val="16"/>
    <w:qFormat/>
    <w:uiPriority w:val="1"/>
    <w:pPr>
      <w:autoSpaceDE w:val="0"/>
      <w:autoSpaceDN w:val="0"/>
      <w:ind w:left="638"/>
      <w:jc w:val="left"/>
    </w:pPr>
    <w:rPr>
      <w:rFonts w:ascii="宋体" w:hAnsi="宋体" w:eastAsia="宋体" w:cs="宋体"/>
      <w:kern w:val="0"/>
      <w:szCs w:val="21"/>
      <w:lang w:val="zh-CN" w:bidi="zh-CN"/>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qFormat/>
    <w:uiPriority w:val="0"/>
    <w:rPr>
      <w:sz w:val="21"/>
      <w:szCs w:val="21"/>
    </w:rPr>
  </w:style>
  <w:style w:type="paragraph" w:customStyle="1" w:styleId="15">
    <w:name w:val="列出段落1"/>
    <w:basedOn w:val="1"/>
    <w:qFormat/>
    <w:uiPriority w:val="34"/>
    <w:pPr>
      <w:ind w:firstLine="420" w:firstLineChars="200"/>
    </w:pPr>
    <w:rPr>
      <w:rFonts w:ascii="Times New Roman" w:hAnsi="Times New Roman" w:eastAsia="宋体" w:cs="Times New Roman"/>
      <w:szCs w:val="24"/>
    </w:rPr>
  </w:style>
  <w:style w:type="character" w:customStyle="1" w:styleId="16">
    <w:name w:val="正文文本 字符"/>
    <w:basedOn w:val="12"/>
    <w:link w:val="7"/>
    <w:qFormat/>
    <w:uiPriority w:val="1"/>
    <w:rPr>
      <w:rFonts w:ascii="宋体" w:hAnsi="宋体" w:eastAsia="宋体" w:cs="宋体"/>
      <w:sz w:val="21"/>
      <w:szCs w:val="21"/>
      <w:lang w:val="zh-CN" w:bidi="zh-CN"/>
    </w:rPr>
  </w:style>
  <w:style w:type="character" w:customStyle="1" w:styleId="17">
    <w:name w:val="页眉 字符"/>
    <w:basedOn w:val="12"/>
    <w:link w:val="9"/>
    <w:qFormat/>
    <w:uiPriority w:val="0"/>
    <w:rPr>
      <w:kern w:val="2"/>
      <w:sz w:val="18"/>
      <w:szCs w:val="18"/>
    </w:rPr>
  </w:style>
  <w:style w:type="character" w:customStyle="1" w:styleId="18">
    <w:name w:val="页脚 字符"/>
    <w:basedOn w:val="12"/>
    <w:link w:val="8"/>
    <w:qFormat/>
    <w:uiPriority w:val="99"/>
    <w:rPr>
      <w:kern w:val="2"/>
      <w:sz w:val="18"/>
      <w:szCs w:val="18"/>
    </w:rPr>
  </w:style>
  <w:style w:type="paragraph" w:styleId="19">
    <w:name w:val="List Paragraph"/>
    <w:basedOn w:val="1"/>
    <w:link w:val="24"/>
    <w:qFormat/>
    <w:uiPriority w:val="34"/>
    <w:pPr>
      <w:ind w:firstLine="420" w:firstLineChars="200"/>
    </w:pPr>
  </w:style>
  <w:style w:type="character" w:customStyle="1" w:styleId="20">
    <w:name w:val="标题 3 字符"/>
    <w:basedOn w:val="12"/>
    <w:link w:val="4"/>
    <w:qFormat/>
    <w:uiPriority w:val="0"/>
    <w:rPr>
      <w:b/>
      <w:bCs/>
      <w:kern w:val="2"/>
      <w:sz w:val="32"/>
      <w:szCs w:val="32"/>
    </w:rPr>
  </w:style>
  <w:style w:type="character" w:customStyle="1" w:styleId="21">
    <w:name w:val="标题 4 字符"/>
    <w:basedOn w:val="12"/>
    <w:link w:val="5"/>
    <w:qFormat/>
    <w:uiPriority w:val="0"/>
    <w:rPr>
      <w:rFonts w:ascii="Calibri Light" w:hAnsi="Calibri Light" w:eastAsia="宋体" w:cs="宋体"/>
      <w:b/>
      <w:bCs/>
      <w:kern w:val="2"/>
      <w:sz w:val="28"/>
      <w:szCs w:val="28"/>
    </w:rPr>
  </w:style>
  <w:style w:type="character" w:customStyle="1" w:styleId="22">
    <w:name w:val="批注文字 字符"/>
    <w:basedOn w:val="12"/>
    <w:qFormat/>
    <w:uiPriority w:val="0"/>
    <w:rPr>
      <w:kern w:val="2"/>
      <w:sz w:val="21"/>
      <w:szCs w:val="22"/>
    </w:rPr>
  </w:style>
  <w:style w:type="character" w:customStyle="1" w:styleId="23">
    <w:name w:val="批注文字 字符1"/>
    <w:link w:val="6"/>
    <w:qFormat/>
    <w:uiPriority w:val="0"/>
    <w:rPr>
      <w:rFonts w:ascii="Calibri" w:hAnsi="Calibri" w:eastAsia="宋体" w:cs="Calibri"/>
      <w:kern w:val="2"/>
      <w:sz w:val="21"/>
      <w:szCs w:val="21"/>
    </w:rPr>
  </w:style>
  <w:style w:type="character" w:customStyle="1" w:styleId="24">
    <w:name w:val="列表段落 字符"/>
    <w:link w:val="19"/>
    <w:qFormat/>
    <w:uiPriority w:val="34"/>
    <w:rPr>
      <w:kern w:val="2"/>
      <w:sz w:val="21"/>
      <w:szCs w:val="22"/>
    </w:rPr>
  </w:style>
  <w:style w:type="paragraph" w:customStyle="1" w:styleId="25">
    <w:name w:val="正文缩进_0"/>
    <w:basedOn w:val="26"/>
    <w:link w:val="27"/>
    <w:qFormat/>
    <w:uiPriority w:val="0"/>
    <w:pPr>
      <w:ind w:firstLine="420"/>
    </w:pPr>
    <w:rPr>
      <w:rFonts w:ascii="Times New Roman" w:hAnsi="Times New Roman"/>
      <w:kern w:val="0"/>
      <w:szCs w:val="20"/>
      <w:lang w:val="zh-CN"/>
    </w:rPr>
  </w:style>
  <w:style w:type="paragraph" w:customStyle="1" w:styleId="2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正文缩进 Char_0"/>
    <w:link w:val="25"/>
    <w:qFormat/>
    <w:uiPriority w:val="0"/>
    <w:rPr>
      <w:rFonts w:ascii="Times New Roman" w:hAnsi="Times New Roman" w:eastAsia="宋体" w:cs="Times New Roman"/>
      <w:sz w:val="21"/>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2484</Words>
  <Characters>2880</Characters>
  <Paragraphs>109</Paragraphs>
  <TotalTime>4</TotalTime>
  <ScaleCrop>false</ScaleCrop>
  <LinksUpToDate>false</LinksUpToDate>
  <CharactersWithSpaces>2901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2022-06-22T07:21:00Z</dcterms:created>
  <dc:creator>jameszhou</dc:creator>
  <cp:lastModifiedBy>James</cp:lastModifiedBy>
  <dcterms:modified xsi:type="dcterms:W3CDTF">2022-10-23T13:38:40Z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85F15AFCDEFC45CA85BE4AEDDBBDB2E5</vt:lpwstr>
  </property>
</Properties>
</file>