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rPr>
      </w:pPr>
      <w:r>
        <w:rPr>
          <w:rFonts w:hint="eastAsia" w:ascii="宋体" w:hAnsi="宋体" w:eastAsia="宋体"/>
          <w:b/>
          <w:color w:val="000000" w:themeColor="text1"/>
          <w:sz w:val="36"/>
          <w:szCs w:val="24"/>
        </w:rPr>
        <w:t>医院质量</w:t>
      </w:r>
      <w:r>
        <w:rPr>
          <w:rFonts w:hint="eastAsia" w:ascii="宋体" w:hAnsi="宋体" w:eastAsia="宋体"/>
          <w:b/>
          <w:color w:val="000000" w:themeColor="text1"/>
          <w:sz w:val="36"/>
          <w:szCs w:val="24"/>
          <w:lang w:val="en-US" w:eastAsia="zh-CN"/>
        </w:rPr>
        <w:t>查检</w:t>
      </w:r>
      <w:r>
        <w:rPr>
          <w:rFonts w:hint="eastAsia" w:ascii="宋体" w:hAnsi="宋体" w:eastAsia="宋体"/>
          <w:b/>
          <w:sz w:val="36"/>
        </w:rPr>
        <w:t>系统项目</w:t>
      </w:r>
    </w:p>
    <w:p>
      <w:pPr>
        <w:jc w:val="center"/>
        <w:rPr>
          <w:rFonts w:ascii="宋体" w:hAnsi="宋体" w:eastAsia="宋体"/>
          <w:b/>
          <w:sz w:val="36"/>
        </w:rPr>
      </w:pPr>
      <w:r>
        <w:rPr>
          <w:rFonts w:hint="eastAsia" w:ascii="宋体" w:hAnsi="宋体" w:eastAsia="宋体"/>
          <w:b/>
          <w:sz w:val="36"/>
        </w:rPr>
        <w:t>用户需求书</w:t>
      </w:r>
    </w:p>
    <w:p>
      <w:pPr>
        <w:pStyle w:val="2"/>
        <w:numPr>
          <w:ilvl w:val="0"/>
          <w:numId w:val="1"/>
        </w:numPr>
        <w:rPr>
          <w:rFonts w:ascii="宋体" w:hAnsi="宋体" w:eastAsia="宋体"/>
          <w:sz w:val="28"/>
          <w:szCs w:val="28"/>
        </w:rPr>
      </w:pPr>
      <w:r>
        <w:rPr>
          <w:rFonts w:ascii="宋体" w:hAnsi="宋体" w:eastAsia="宋体"/>
          <w:color w:val="000000" w:themeColor="text1"/>
        </w:rPr>
        <w:t>项目</w:t>
      </w:r>
      <w:r>
        <w:rPr>
          <w:rFonts w:hint="eastAsia" w:ascii="宋体" w:hAnsi="宋体" w:eastAsia="宋体"/>
          <w:color w:val="000000" w:themeColor="text1"/>
        </w:rPr>
        <w:t>背景</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医院质量</w:t>
      </w:r>
      <w:r>
        <w:rPr>
          <w:rFonts w:hint="eastAsia" w:asciiTheme="majorEastAsia" w:hAnsiTheme="majorEastAsia" w:eastAsiaTheme="majorEastAsia"/>
          <w:sz w:val="24"/>
          <w:szCs w:val="21"/>
          <w:lang w:val="en-US" w:eastAsia="zh-CN"/>
        </w:rPr>
        <w:t>查检</w:t>
      </w:r>
      <w:r>
        <w:rPr>
          <w:rFonts w:hint="eastAsia" w:asciiTheme="majorEastAsia" w:hAnsiTheme="majorEastAsia" w:eastAsiaTheme="majorEastAsia"/>
          <w:sz w:val="24"/>
          <w:szCs w:val="21"/>
        </w:rPr>
        <w:t>系统建设的目标是为了在医院建立一套有效投入使用、切实提高医院查检工作水平的信息化查检管理平台，统筹管理全院查检工作，同时对查检工作实现统计分析与追踪功能，并将日常查检工作留痕，提升工作效率与医院整体质量管理水平。</w:t>
      </w:r>
      <w:r>
        <w:rPr>
          <w:rFonts w:hint="eastAsia" w:asciiTheme="majorEastAsia" w:hAnsiTheme="majorEastAsia" w:eastAsiaTheme="majorEastAsia"/>
          <w:sz w:val="24"/>
          <w:szCs w:val="21"/>
          <w:lang w:val="en-US" w:eastAsia="zh-CN"/>
        </w:rPr>
        <w:t>实施</w:t>
      </w:r>
      <w:r>
        <w:rPr>
          <w:rFonts w:hint="eastAsia" w:asciiTheme="majorEastAsia" w:hAnsiTheme="majorEastAsia" w:eastAsiaTheme="majorEastAsia"/>
          <w:sz w:val="24"/>
          <w:szCs w:val="21"/>
        </w:rPr>
        <w:t>过程中以等级评审的质量审查为基础，并辅以《依法执业自查》所要求的三级监管模式</w:t>
      </w:r>
      <w:r>
        <w:rPr>
          <w:rFonts w:hint="eastAsia" w:asciiTheme="majorEastAsia" w:hAnsiTheme="majorEastAsia" w:eastAsiaTheme="majorEastAsia"/>
          <w:sz w:val="24"/>
          <w:szCs w:val="21"/>
          <w:lang w:val="en-US"/>
        </w:rPr>
        <w:t>。</w:t>
      </w:r>
      <w:r>
        <w:rPr>
          <w:rFonts w:hint="eastAsia" w:asciiTheme="majorEastAsia" w:hAnsiTheme="majorEastAsia" w:eastAsiaTheme="majorEastAsia"/>
          <w:sz w:val="24"/>
          <w:szCs w:val="21"/>
        </w:rPr>
        <w:t>查检系统根据最新三甲医院综合评审标准条款及医院的管理制度制定评审任务，质量管理办公室指定牵头科室负责任务。牵头科室根据需求制定查检任务。查检系统可覆盖全院各种查检作业，并着眼于查检后的统计分析与追踪功能，更重要的是利用信息化优势将查检工作留痕，提供管理层进行验证作业，不只是行动查检，更多是管理的价值。</w:t>
      </w:r>
    </w:p>
    <w:p>
      <w:pPr>
        <w:pStyle w:val="7"/>
        <w:shd w:val="clear" w:color="auto" w:fill="FFFFFF"/>
        <w:tabs>
          <w:tab w:val="decimal" w:pos="315"/>
          <w:tab w:val="left" w:pos="630"/>
        </w:tabs>
        <w:spacing w:beforeAutospacing="0" w:afterAutospacing="0" w:line="360" w:lineRule="auto"/>
        <w:ind w:firstLine="480" w:firstLineChars="200"/>
        <w:jc w:val="both"/>
        <w:rPr>
          <w:rFonts w:ascii="宋体" w:hAnsi="宋体" w:eastAsia="宋体"/>
          <w:color w:val="000000" w:themeColor="text1"/>
          <w:sz w:val="24"/>
          <w:szCs w:val="24"/>
        </w:rPr>
      </w:pPr>
    </w:p>
    <w:p>
      <w:pPr>
        <w:pStyle w:val="3"/>
        <w:ind w:firstLine="480"/>
        <w:rPr>
          <w:rFonts w:ascii="宋体" w:hAnsi="宋体" w:eastAsia="宋体"/>
          <w:color w:val="000000" w:themeColor="text1"/>
          <w:sz w:val="24"/>
          <w:szCs w:val="24"/>
        </w:rPr>
      </w:pPr>
    </w:p>
    <w:p>
      <w:pPr>
        <w:pStyle w:val="2"/>
        <w:numPr>
          <w:ilvl w:val="0"/>
          <w:numId w:val="1"/>
        </w:numPr>
        <w:rPr>
          <w:rFonts w:ascii="宋体" w:hAnsi="宋体" w:eastAsia="宋体"/>
          <w:sz w:val="28"/>
          <w:szCs w:val="28"/>
        </w:rPr>
      </w:pPr>
      <w:r>
        <w:rPr>
          <w:rFonts w:hint="eastAsia" w:ascii="宋体" w:hAnsi="宋体" w:eastAsia="宋体"/>
          <w:sz w:val="28"/>
          <w:szCs w:val="28"/>
        </w:rPr>
        <w:t>项目建设清单</w:t>
      </w:r>
    </w:p>
    <w:p>
      <w:pPr>
        <w:rPr>
          <w:rFonts w:ascii="宋体" w:hAnsi="宋体" w:eastAsia="宋体"/>
          <w:sz w:val="28"/>
          <w:szCs w:val="32"/>
        </w:rPr>
      </w:pPr>
      <w:r>
        <w:rPr>
          <w:rFonts w:hint="eastAsia" w:ascii="宋体" w:hAnsi="宋体" w:eastAsia="宋体"/>
          <w:sz w:val="28"/>
          <w:szCs w:val="32"/>
        </w:rPr>
        <w:t>1、采购清单</w:t>
      </w:r>
    </w:p>
    <w:tbl>
      <w:tblPr>
        <w:tblStyle w:val="8"/>
        <w:tblW w:w="53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61"/>
        <w:gridCol w:w="842"/>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1" w:type="pct"/>
            <w:vAlign w:val="center"/>
          </w:tcPr>
          <w:p>
            <w:pPr>
              <w:spacing w:line="36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序号</w:t>
            </w:r>
          </w:p>
        </w:tc>
        <w:tc>
          <w:tcPr>
            <w:tcW w:w="1638" w:type="pct"/>
            <w:vAlign w:val="center"/>
          </w:tcPr>
          <w:p>
            <w:pPr>
              <w:spacing w:line="36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内容</w:t>
            </w:r>
          </w:p>
        </w:tc>
        <w:tc>
          <w:tcPr>
            <w:tcW w:w="466" w:type="pct"/>
            <w:vAlign w:val="center"/>
          </w:tcPr>
          <w:p>
            <w:pPr>
              <w:spacing w:line="36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数量</w:t>
            </w:r>
          </w:p>
        </w:tc>
        <w:tc>
          <w:tcPr>
            <w:tcW w:w="2365" w:type="pct"/>
            <w:vAlign w:val="center"/>
          </w:tcPr>
          <w:p>
            <w:pPr>
              <w:spacing w:line="36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1" w:type="pct"/>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1</w:t>
            </w:r>
          </w:p>
        </w:tc>
        <w:tc>
          <w:tcPr>
            <w:tcW w:w="1638" w:type="pct"/>
            <w:vAlign w:val="center"/>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医院质量</w:t>
            </w:r>
            <w:r>
              <w:rPr>
                <w:rFonts w:hint="eastAsia" w:ascii="宋体" w:hAnsi="宋体" w:eastAsia="宋体"/>
                <w:color w:val="000000" w:themeColor="text1"/>
                <w:sz w:val="24"/>
                <w:szCs w:val="24"/>
                <w:lang w:val="en-US" w:eastAsia="zh-CN"/>
              </w:rPr>
              <w:t>查检</w:t>
            </w:r>
            <w:r>
              <w:rPr>
                <w:rFonts w:hint="eastAsia" w:ascii="宋体" w:hAnsi="宋体" w:eastAsia="宋体"/>
                <w:color w:val="000000" w:themeColor="text1"/>
                <w:sz w:val="24"/>
                <w:szCs w:val="24"/>
              </w:rPr>
              <w:t>系统</w:t>
            </w:r>
          </w:p>
        </w:tc>
        <w:tc>
          <w:tcPr>
            <w:tcW w:w="466" w:type="pct"/>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1套</w:t>
            </w:r>
          </w:p>
        </w:tc>
        <w:tc>
          <w:tcPr>
            <w:tcW w:w="2365" w:type="pct"/>
            <w:vAlign w:val="center"/>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具体参数见技术</w:t>
            </w:r>
            <w:r>
              <w:rPr>
                <w:rFonts w:ascii="宋体" w:hAnsi="宋体" w:eastAsia="宋体"/>
                <w:color w:val="000000" w:themeColor="text1"/>
                <w:sz w:val="24"/>
                <w:szCs w:val="24"/>
              </w:rPr>
              <w:t>要求</w:t>
            </w:r>
          </w:p>
        </w:tc>
      </w:tr>
    </w:tbl>
    <w:p>
      <w:pPr>
        <w:pStyle w:val="4"/>
        <w:ind w:left="0"/>
        <w:rPr>
          <w:lang w:val="en-US"/>
        </w:rPr>
      </w:pPr>
      <w:bookmarkStart w:id="0" w:name="_GoBack"/>
      <w:bookmarkEnd w:id="0"/>
    </w:p>
    <w:p>
      <w:pPr>
        <w:pStyle w:val="4"/>
        <w:ind w:left="0"/>
      </w:pPr>
    </w:p>
    <w:p>
      <w:pPr>
        <w:rPr>
          <w:rFonts w:ascii="宋体" w:hAnsi="宋体" w:eastAsia="宋体"/>
          <w:sz w:val="28"/>
          <w:szCs w:val="32"/>
        </w:rPr>
      </w:pPr>
      <w:r>
        <w:rPr>
          <w:rFonts w:ascii="宋体" w:hAnsi="宋体" w:eastAsia="宋体"/>
          <w:sz w:val="28"/>
          <w:szCs w:val="32"/>
        </w:rPr>
        <w:t>2</w:t>
      </w:r>
      <w:r>
        <w:rPr>
          <w:rFonts w:hint="eastAsia" w:ascii="宋体" w:hAnsi="宋体" w:eastAsia="宋体"/>
          <w:sz w:val="28"/>
          <w:szCs w:val="32"/>
        </w:rPr>
        <w:t>、详细技术要求</w:t>
      </w:r>
    </w:p>
    <w:tbl>
      <w:tblPr>
        <w:tblStyle w:val="8"/>
        <w:tblpPr w:leftFromText="180" w:rightFromText="180" w:vertAnchor="text" w:horzAnchor="page" w:tblpX="1516" w:tblpY="158"/>
        <w:tblOverlap w:val="never"/>
        <w:tblW w:w="9302" w:type="dxa"/>
        <w:tblInd w:w="0" w:type="dxa"/>
        <w:tblLayout w:type="fixed"/>
        <w:tblCellMar>
          <w:top w:w="0" w:type="dxa"/>
          <w:left w:w="108" w:type="dxa"/>
          <w:bottom w:w="0" w:type="dxa"/>
          <w:right w:w="108" w:type="dxa"/>
        </w:tblCellMar>
      </w:tblPr>
      <w:tblGrid>
        <w:gridCol w:w="1398"/>
        <w:gridCol w:w="3838"/>
        <w:gridCol w:w="4066"/>
      </w:tblGrid>
      <w:tr>
        <w:tblPrEx>
          <w:tblCellMar>
            <w:top w:w="0" w:type="dxa"/>
            <w:left w:w="108" w:type="dxa"/>
            <w:bottom w:w="0" w:type="dxa"/>
            <w:right w:w="108" w:type="dxa"/>
          </w:tblCellMar>
        </w:tblPrEx>
        <w:trPr>
          <w:trHeight w:val="441" w:hRule="atLeast"/>
        </w:trPr>
        <w:tc>
          <w:tcPr>
            <w:tcW w:w="9302"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软件功能参数</w:t>
            </w:r>
          </w:p>
        </w:tc>
      </w:tr>
      <w:tr>
        <w:tblPrEx>
          <w:tblCellMar>
            <w:top w:w="0" w:type="dxa"/>
            <w:left w:w="108" w:type="dxa"/>
            <w:bottom w:w="0" w:type="dxa"/>
            <w:right w:w="108" w:type="dxa"/>
          </w:tblCellMar>
        </w:tblPrEx>
        <w:trPr>
          <w:trHeight w:val="390" w:hRule="atLeast"/>
        </w:trPr>
        <w:tc>
          <w:tcPr>
            <w:tcW w:w="1398" w:type="dxa"/>
            <w:tcBorders>
              <w:top w:val="nil"/>
              <w:left w:val="single" w:color="000000" w:sz="8" w:space="0"/>
              <w:bottom w:val="nil"/>
              <w:right w:val="single" w:color="000000" w:sz="8"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功能模块</w:t>
            </w:r>
          </w:p>
        </w:tc>
        <w:tc>
          <w:tcPr>
            <w:tcW w:w="3838" w:type="dxa"/>
            <w:tcBorders>
              <w:top w:val="single" w:color="000000" w:sz="8" w:space="0"/>
              <w:left w:val="nil"/>
              <w:bottom w:val="nil"/>
              <w:right w:val="single" w:color="000000" w:sz="8"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功能参数要求</w:t>
            </w:r>
          </w:p>
        </w:tc>
        <w:tc>
          <w:tcPr>
            <w:tcW w:w="4066" w:type="dxa"/>
            <w:tcBorders>
              <w:top w:val="single" w:color="000000" w:sz="8" w:space="0"/>
              <w:left w:val="nil"/>
              <w:bottom w:val="nil"/>
              <w:right w:val="single" w:color="000000" w:sz="8"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软件要求</w:t>
            </w:r>
          </w:p>
        </w:tc>
      </w:tr>
      <w:tr>
        <w:tblPrEx>
          <w:tblCellMar>
            <w:top w:w="0" w:type="dxa"/>
            <w:left w:w="108" w:type="dxa"/>
            <w:bottom w:w="0" w:type="dxa"/>
            <w:right w:w="108" w:type="dxa"/>
          </w:tblCellMar>
        </w:tblPrEx>
        <w:trPr>
          <w:trHeight w:val="902" w:hRule="atLeast"/>
        </w:trPr>
        <w:tc>
          <w:tcPr>
            <w:tcW w:w="139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1.查检内容</w:t>
            </w:r>
          </w:p>
        </w:tc>
        <w:tc>
          <w:tcPr>
            <w:tcW w:w="383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1.1可根据医院的管理制度要求，提供覆盖全院的查检模板，也可以根据职能科室管理需要，导入医院自有查检表单。</w:t>
            </w:r>
          </w:p>
        </w:tc>
        <w:tc>
          <w:tcPr>
            <w:tcW w:w="4066" w:type="dxa"/>
            <w:tcBorders>
              <w:top w:val="single" w:color="000000" w:sz="4" w:space="0"/>
              <w:left w:val="nil"/>
              <w:bottom w:val="single" w:color="000000" w:sz="4" w:space="0"/>
              <w:right w:val="single" w:color="000000" w:sz="4" w:space="0"/>
            </w:tcBorders>
            <w:vAlign w:val="center"/>
          </w:tcPr>
          <w:p>
            <w:pPr>
              <w:spacing w:line="360" w:lineRule="auto"/>
              <w:ind w:left="720" w:hanging="720" w:hangingChars="300"/>
              <w:jc w:val="both"/>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1.1.1有资深的医院管理专家协助医院进行查检表单的修改，辅导和导入；</w:t>
            </w:r>
          </w:p>
          <w:p>
            <w:pPr>
              <w:spacing w:line="360" w:lineRule="auto"/>
              <w:jc w:val="both"/>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1.1.2目前查检表模板覆盖全院，涉及依法自查，提供对应医院评审条款对应档；</w:t>
            </w:r>
          </w:p>
          <w:p>
            <w:pPr>
              <w:spacing w:line="360" w:lineRule="auto"/>
              <w:jc w:val="both"/>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1.1.3查检内容包含：依法执业检查;质量/安全检查。</w:t>
            </w:r>
          </w:p>
        </w:tc>
      </w:tr>
      <w:tr>
        <w:tblPrEx>
          <w:tblCellMar>
            <w:top w:w="0" w:type="dxa"/>
            <w:left w:w="108" w:type="dxa"/>
            <w:bottom w:w="0" w:type="dxa"/>
            <w:right w:w="108" w:type="dxa"/>
          </w:tblCellMar>
        </w:tblPrEx>
        <w:trPr>
          <w:trHeight w:val="853" w:hRule="atLeast"/>
        </w:trPr>
        <w:tc>
          <w:tcPr>
            <w:tcW w:w="139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2.行动查检（手机端）</w:t>
            </w:r>
          </w:p>
        </w:tc>
        <w:tc>
          <w:tcPr>
            <w:tcW w:w="383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2.1手机端安装查检APP或者网页访问，可代替纸质表单进行现场检查，现场检查和语音、拍照、文字，即时记录现场查检情况，完成即可提交，信息可同步提交到后台进行统计。</w:t>
            </w:r>
          </w:p>
        </w:tc>
        <w:tc>
          <w:tcPr>
            <w:tcW w:w="40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2.1.1手机操作，方便快捷；</w:t>
            </w:r>
            <w:r>
              <w:rPr>
                <w:rFonts w:hint="eastAsia" w:asciiTheme="majorEastAsia" w:hAnsiTheme="majorEastAsia" w:eastAsiaTheme="majorEastAsia"/>
                <w:sz w:val="24"/>
                <w:szCs w:val="21"/>
              </w:rPr>
              <w:br w:type="textWrapping"/>
            </w:r>
            <w:r>
              <w:rPr>
                <w:rFonts w:hint="eastAsia" w:asciiTheme="majorEastAsia" w:hAnsiTheme="majorEastAsia" w:eastAsiaTheme="majorEastAsia"/>
                <w:sz w:val="24"/>
                <w:szCs w:val="21"/>
              </w:rPr>
              <w:t>2.1.2完成检查，信息即时提交到后台完 成项目反馈和统计。</w:t>
            </w:r>
          </w:p>
          <w:p>
            <w:pPr>
              <w:pStyle w:val="16"/>
              <w:rPr>
                <w:rFonts w:hint="default" w:asciiTheme="majorEastAsia" w:hAnsiTheme="majorEastAsia" w:eastAsiaTheme="majorEastAsia"/>
                <w:szCs w:val="21"/>
              </w:rPr>
            </w:pPr>
            <w:r>
              <w:rPr>
                <w:rFonts w:asciiTheme="majorEastAsia" w:hAnsiTheme="majorEastAsia" w:eastAsiaTheme="majorEastAsia"/>
                <w:szCs w:val="21"/>
              </w:rPr>
              <w:t>2.1.3手机端可查看查检结果统计分析</w:t>
            </w:r>
          </w:p>
          <w:p>
            <w:pPr>
              <w:pStyle w:val="16"/>
              <w:rPr>
                <w:rFonts w:hint="default" w:asciiTheme="majorEastAsia" w:hAnsiTheme="majorEastAsia" w:eastAsiaTheme="majorEastAsia"/>
                <w:sz w:val="32"/>
              </w:rPr>
            </w:pPr>
            <w:r>
              <w:rPr>
                <w:rFonts w:asciiTheme="majorEastAsia" w:hAnsiTheme="majorEastAsia" w:eastAsiaTheme="majorEastAsia"/>
                <w:szCs w:val="21"/>
              </w:rPr>
              <w:t>2.1.4科主任可在手机端进行整改回复，方便快捷</w:t>
            </w:r>
          </w:p>
        </w:tc>
      </w:tr>
      <w:tr>
        <w:tblPrEx>
          <w:tblCellMar>
            <w:top w:w="0" w:type="dxa"/>
            <w:left w:w="108" w:type="dxa"/>
            <w:bottom w:w="0" w:type="dxa"/>
            <w:right w:w="108" w:type="dxa"/>
          </w:tblCellMar>
        </w:tblPrEx>
        <w:trPr>
          <w:trHeight w:val="918" w:hRule="atLeast"/>
        </w:trPr>
        <w:tc>
          <w:tcPr>
            <w:tcW w:w="139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3.查检管理</w:t>
            </w:r>
          </w:p>
        </w:tc>
        <w:tc>
          <w:tcPr>
            <w:tcW w:w="383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3.1根据医院需求制定查检项目，各个项目可灵活绑定成查检计划表单，进行查检作业。可对查检计划进行人员授权，科室绑定，项目绑定，计划导出等作业。</w:t>
            </w:r>
          </w:p>
        </w:tc>
        <w:tc>
          <w:tcPr>
            <w:tcW w:w="4066" w:type="dxa"/>
            <w:tcBorders>
              <w:top w:val="single" w:color="000000" w:sz="4" w:space="0"/>
              <w:left w:val="nil"/>
              <w:bottom w:val="single" w:color="000000" w:sz="4" w:space="0"/>
              <w:right w:val="single" w:color="000000" w:sz="4" w:space="0"/>
            </w:tcBorders>
            <w:vAlign w:val="center"/>
          </w:tcPr>
          <w:p>
            <w:pPr>
              <w:spacing w:line="360" w:lineRule="auto"/>
              <w:ind w:left="480" w:hanging="480" w:hangingChars="200"/>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3.1.1设计灵活，可灵活设计计划表单和人员分配。</w:t>
            </w:r>
          </w:p>
        </w:tc>
      </w:tr>
      <w:tr>
        <w:tblPrEx>
          <w:tblCellMar>
            <w:top w:w="0" w:type="dxa"/>
            <w:left w:w="108" w:type="dxa"/>
            <w:bottom w:w="0" w:type="dxa"/>
            <w:right w:w="108" w:type="dxa"/>
          </w:tblCellMar>
        </w:tblPrEx>
        <w:trPr>
          <w:trHeight w:val="2267" w:hRule="atLeast"/>
        </w:trPr>
        <w:tc>
          <w:tcPr>
            <w:tcW w:w="139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4.科主任专区</w:t>
            </w:r>
          </w:p>
        </w:tc>
        <w:tc>
          <w:tcPr>
            <w:tcW w:w="383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4.1针对主管人员，专门设定科主任专区/护士长专区，可监管院级受检结果，本科室自查结果，和完成职能监管，病科查检受检项目和自查项目的合格率，统计分析等。</w:t>
            </w:r>
          </w:p>
        </w:tc>
        <w:tc>
          <w:tcPr>
            <w:tcW w:w="4066" w:type="dxa"/>
            <w:tcBorders>
              <w:top w:val="single" w:color="000000" w:sz="4" w:space="0"/>
              <w:left w:val="nil"/>
              <w:bottom w:val="single" w:color="000000" w:sz="4" w:space="0"/>
              <w:right w:val="single" w:color="000000" w:sz="4" w:space="0"/>
            </w:tcBorders>
            <w:vAlign w:val="center"/>
          </w:tcPr>
          <w:p>
            <w:pPr>
              <w:spacing w:line="360" w:lineRule="auto"/>
              <w:ind w:left="720" w:hanging="720" w:hangingChars="300"/>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4.1.1信息反馈即时性，整改流程完善：手机现场查检不合格项，可即时同步到科主任整改区，科主任可立即参考查检结果进行整改，完成整改提交，可自动同步到相关职能责任科室进行监管审批。</w:t>
            </w:r>
          </w:p>
        </w:tc>
      </w:tr>
      <w:tr>
        <w:tblPrEx>
          <w:tblCellMar>
            <w:top w:w="0" w:type="dxa"/>
            <w:left w:w="108" w:type="dxa"/>
            <w:bottom w:w="0" w:type="dxa"/>
            <w:right w:w="108" w:type="dxa"/>
          </w:tblCellMar>
        </w:tblPrEx>
        <w:trPr>
          <w:trHeight w:val="1220" w:hRule="atLeast"/>
        </w:trPr>
        <w:tc>
          <w:tcPr>
            <w:tcW w:w="139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5.统计分析</w:t>
            </w:r>
          </w:p>
        </w:tc>
        <w:tc>
          <w:tcPr>
            <w:tcW w:w="383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5.1主要为主管/职能科室查阅整体结果使用，包括各查检项目合格率与各科室当期查检总表。每一个查检项目都可以生成一组图表：包括折线图、圆饼图、柱状图，图表资料可直接导出，不需整理，方便快捷。</w:t>
            </w:r>
          </w:p>
        </w:tc>
        <w:tc>
          <w:tcPr>
            <w:tcW w:w="4066" w:type="dxa"/>
            <w:tcBorders>
              <w:top w:val="single" w:color="000000" w:sz="4" w:space="0"/>
              <w:left w:val="nil"/>
              <w:bottom w:val="single" w:color="000000" w:sz="4" w:space="0"/>
              <w:right w:val="single" w:color="000000" w:sz="4" w:space="0"/>
            </w:tcBorders>
            <w:vAlign w:val="center"/>
          </w:tcPr>
          <w:p>
            <w:pPr>
              <w:spacing w:line="360" w:lineRule="auto"/>
              <w:ind w:left="720" w:hanging="720" w:hangingChars="300"/>
              <w:rPr>
                <w:rFonts w:asciiTheme="majorEastAsia" w:hAnsiTheme="majorEastAsia" w:eastAsiaTheme="majorEastAsia"/>
                <w:sz w:val="24"/>
                <w:szCs w:val="21"/>
              </w:rPr>
            </w:pPr>
            <w:r>
              <w:rPr>
                <w:rFonts w:hint="eastAsia" w:asciiTheme="majorEastAsia" w:hAnsiTheme="majorEastAsia" w:eastAsiaTheme="majorEastAsia"/>
                <w:sz w:val="24"/>
                <w:szCs w:val="21"/>
              </w:rPr>
              <w:t>5.1.1对院内查检结果可实现自动统计分析。</w:t>
            </w:r>
          </w:p>
        </w:tc>
      </w:tr>
      <w:tr>
        <w:tblPrEx>
          <w:tblCellMar>
            <w:top w:w="0" w:type="dxa"/>
            <w:left w:w="108" w:type="dxa"/>
            <w:bottom w:w="0" w:type="dxa"/>
            <w:right w:w="108" w:type="dxa"/>
          </w:tblCellMar>
        </w:tblPrEx>
        <w:trPr>
          <w:trHeight w:val="691" w:hRule="atLeast"/>
        </w:trPr>
        <w:tc>
          <w:tcPr>
            <w:tcW w:w="139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6.验证作业/院级监管</w:t>
            </w:r>
          </w:p>
        </w:tc>
        <w:tc>
          <w:tcPr>
            <w:tcW w:w="383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6.1可对查检计划进行真实性验证</w:t>
            </w:r>
          </w:p>
        </w:tc>
        <w:tc>
          <w:tcPr>
            <w:tcW w:w="4066" w:type="dxa"/>
            <w:tcBorders>
              <w:top w:val="single" w:color="000000" w:sz="4" w:space="0"/>
              <w:left w:val="nil"/>
              <w:bottom w:val="single" w:color="000000" w:sz="4" w:space="0"/>
              <w:right w:val="single" w:color="000000" w:sz="4" w:space="0"/>
            </w:tcBorders>
            <w:vAlign w:val="center"/>
          </w:tcPr>
          <w:p>
            <w:pPr>
              <w:spacing w:line="360" w:lineRule="auto"/>
              <w:ind w:left="480" w:hanging="480" w:hangingChars="200"/>
              <w:textAlignment w:val="center"/>
              <w:rPr>
                <w:rFonts w:asciiTheme="majorEastAsia" w:hAnsiTheme="majorEastAsia" w:eastAsiaTheme="majorEastAsia"/>
                <w:sz w:val="24"/>
                <w:szCs w:val="21"/>
              </w:rPr>
            </w:pPr>
            <w:r>
              <w:rPr>
                <w:rFonts w:hint="eastAsia" w:asciiTheme="majorEastAsia" w:hAnsiTheme="majorEastAsia" w:eastAsiaTheme="majorEastAsia"/>
                <w:sz w:val="24"/>
                <w:szCs w:val="21"/>
              </w:rPr>
              <w:t>6.1.1实现三级监管模式-院级监管，</w:t>
            </w:r>
            <w:r>
              <w:rPr>
                <w:rFonts w:hint="eastAsia" w:asciiTheme="majorEastAsia" w:hAnsiTheme="majorEastAsia" w:eastAsiaTheme="majorEastAsia"/>
                <w:sz w:val="24"/>
                <w:szCs w:val="21"/>
              </w:rPr>
              <w:br w:type="textWrapping"/>
            </w:r>
            <w:r>
              <w:rPr>
                <w:rFonts w:hint="eastAsia" w:asciiTheme="majorEastAsia" w:hAnsiTheme="majorEastAsia" w:eastAsiaTheme="majorEastAsia"/>
                <w:sz w:val="24"/>
                <w:szCs w:val="21"/>
              </w:rPr>
              <w:t>院级监管：院级专责部门人员定期验证职能主管是否[定点/定人/定时]进行检查；</w:t>
            </w:r>
            <w:r>
              <w:rPr>
                <w:rFonts w:hint="eastAsia" w:asciiTheme="majorEastAsia" w:hAnsiTheme="majorEastAsia" w:eastAsiaTheme="majorEastAsia"/>
                <w:sz w:val="24"/>
                <w:szCs w:val="21"/>
              </w:rPr>
              <w:br w:type="textWrapping"/>
            </w:r>
            <w:r>
              <w:rPr>
                <w:rFonts w:hint="eastAsia" w:asciiTheme="majorEastAsia" w:hAnsiTheme="majorEastAsia" w:eastAsiaTheme="majorEastAsia"/>
                <w:sz w:val="24"/>
                <w:szCs w:val="21"/>
              </w:rPr>
              <w:t>职能主管：医院各职能主管，需定期且依据内部管理制度进行医院内部审查作业。</w:t>
            </w:r>
          </w:p>
        </w:tc>
      </w:tr>
    </w:tbl>
    <w:p>
      <w:pPr>
        <w:spacing w:line="360" w:lineRule="auto"/>
        <w:rPr>
          <w:rFonts w:asciiTheme="majorEastAsia" w:hAnsiTheme="majorEastAsia" w:eastAsiaTheme="majorEastAsia"/>
          <w:b/>
          <w:sz w:val="24"/>
          <w:szCs w:val="21"/>
        </w:rPr>
      </w:pPr>
    </w:p>
    <w:p>
      <w:pPr>
        <w:pStyle w:val="4"/>
        <w:ind w:left="0"/>
        <w:rPr>
          <w:sz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TFiZjVkNDYzOTE4ZjYxNmM0YmNiNjkwZWM5NmU0ZTMifQ=="/>
  </w:docVars>
  <w:rsids>
    <w:rsidRoot w:val="00D31D50"/>
    <w:rsid w:val="00203F32"/>
    <w:rsid w:val="00323B43"/>
    <w:rsid w:val="003D37D8"/>
    <w:rsid w:val="00426133"/>
    <w:rsid w:val="004358AB"/>
    <w:rsid w:val="007D3B56"/>
    <w:rsid w:val="008B7726"/>
    <w:rsid w:val="00916F0B"/>
    <w:rsid w:val="00D31D50"/>
    <w:rsid w:val="407A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2"/>
    <w:unhideWhenUsed/>
    <w:qFormat/>
    <w:uiPriority w:val="9"/>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rPr>
  </w:style>
  <w:style w:type="paragraph" w:styleId="4">
    <w:name w:val="Body Text"/>
    <w:basedOn w:val="1"/>
    <w:link w:val="13"/>
    <w:qFormat/>
    <w:uiPriority w:val="1"/>
    <w:pPr>
      <w:widowControl w:val="0"/>
      <w:autoSpaceDE w:val="0"/>
      <w:autoSpaceDN w:val="0"/>
      <w:adjustRightInd/>
      <w:snapToGrid/>
      <w:spacing w:after="0"/>
      <w:ind w:left="638"/>
    </w:pPr>
    <w:rPr>
      <w:rFonts w:ascii="宋体" w:hAnsi="宋体" w:eastAsia="宋体" w:cs="宋体"/>
      <w:sz w:val="21"/>
      <w:szCs w:val="21"/>
      <w:lang w:val="zh-CN" w:bidi="zh-CN"/>
    </w:rPr>
  </w:style>
  <w:style w:type="paragraph" w:styleId="5">
    <w:name w:val="footer"/>
    <w:basedOn w:val="1"/>
    <w:link w:val="11"/>
    <w:semiHidden/>
    <w:unhideWhenUsed/>
    <w:qFormat/>
    <w:uiPriority w:val="99"/>
    <w:pPr>
      <w:tabs>
        <w:tab w:val="center" w:pos="4153"/>
        <w:tab w:val="right" w:pos="8306"/>
      </w:tabs>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autoSpaceDE w:val="0"/>
      <w:autoSpaceDN w:val="0"/>
      <w:adjustRightInd/>
      <w:snapToGrid/>
      <w:spacing w:beforeAutospacing="1" w:after="0" w:afterAutospacing="1"/>
    </w:pPr>
    <w:rPr>
      <w:rFonts w:ascii="宋体" w:hAnsi="宋体" w:eastAsia="宋体" w:cs="宋体"/>
      <w:sz w:val="24"/>
      <w:lang w:val="zh-CN" w:bidi="zh-CN"/>
    </w:rPr>
  </w:style>
  <w:style w:type="character" w:customStyle="1" w:styleId="10">
    <w:name w:val="页眉 Char"/>
    <w:basedOn w:val="9"/>
    <w:link w:val="6"/>
    <w:semiHidden/>
    <w:qFormat/>
    <w:uiPriority w:val="99"/>
    <w:rPr>
      <w:rFonts w:ascii="Tahoma" w:hAnsi="Tahoma"/>
      <w:sz w:val="18"/>
      <w:szCs w:val="18"/>
    </w:rPr>
  </w:style>
  <w:style w:type="character" w:customStyle="1" w:styleId="11">
    <w:name w:val="页脚 Char"/>
    <w:basedOn w:val="9"/>
    <w:link w:val="5"/>
    <w:semiHidden/>
    <w:qFormat/>
    <w:uiPriority w:val="99"/>
    <w:rPr>
      <w:rFonts w:ascii="Tahoma" w:hAnsi="Tahoma"/>
      <w:sz w:val="18"/>
      <w:szCs w:val="18"/>
    </w:rPr>
  </w:style>
  <w:style w:type="character" w:customStyle="1" w:styleId="12">
    <w:name w:val="标题 2 Char"/>
    <w:basedOn w:val="9"/>
    <w:link w:val="2"/>
    <w:qFormat/>
    <w:uiPriority w:val="9"/>
    <w:rPr>
      <w:rFonts w:asciiTheme="majorHAnsi" w:hAnsiTheme="majorHAnsi" w:eastAsiaTheme="majorEastAsia" w:cstheme="majorBidi"/>
      <w:b/>
      <w:bCs/>
      <w:kern w:val="2"/>
      <w:sz w:val="32"/>
      <w:szCs w:val="32"/>
    </w:rPr>
  </w:style>
  <w:style w:type="character" w:customStyle="1" w:styleId="13">
    <w:name w:val="正文文本 Char"/>
    <w:basedOn w:val="9"/>
    <w:link w:val="4"/>
    <w:qFormat/>
    <w:uiPriority w:val="1"/>
    <w:rPr>
      <w:rFonts w:ascii="宋体" w:hAnsi="宋体" w:eastAsia="宋体" w:cs="宋体"/>
      <w:sz w:val="21"/>
      <w:szCs w:val="21"/>
      <w:lang w:val="zh-CN" w:bidi="zh-CN"/>
    </w:rPr>
  </w:style>
  <w:style w:type="paragraph" w:styleId="14">
    <w:name w:val="List Paragraph"/>
    <w:basedOn w:val="1"/>
    <w:link w:val="15"/>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15">
    <w:name w:val="列出段落 Char"/>
    <w:link w:val="14"/>
    <w:qFormat/>
    <w:locked/>
    <w:uiPriority w:val="34"/>
    <w:rPr>
      <w:rFonts w:eastAsiaTheme="minorEastAsia"/>
      <w:kern w:val="2"/>
      <w:sz w:val="21"/>
    </w:rPr>
  </w:style>
  <w:style w:type="paragraph" w:customStyle="1" w:styleId="16">
    <w:name w:val="表格文字"/>
    <w:basedOn w:val="1"/>
    <w:qFormat/>
    <w:uiPriority w:val="0"/>
    <w:pPr>
      <w:widowControl w:val="0"/>
      <w:autoSpaceDE w:val="0"/>
      <w:autoSpaceDN w:val="0"/>
      <w:adjustRightInd/>
      <w:snapToGrid/>
      <w:spacing w:before="25" w:after="25"/>
    </w:pPr>
    <w:rPr>
      <w:rFonts w:hint="eastAsia" w:ascii="宋体" w:hAnsi="宋体" w:eastAsia="宋体" w:cs="宋体"/>
      <w:spacing w:val="10"/>
      <w:sz w:val="24"/>
      <w:szCs w:val="2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1481</Words>
  <Characters>1550</Characters>
  <Lines>11</Lines>
  <Paragraphs>3</Paragraphs>
  <TotalTime>1</TotalTime>
  <ScaleCrop>false</ScaleCrop>
  <LinksUpToDate>false</LinksUpToDate>
  <CharactersWithSpaces>1551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jameszhou</dc:creator>
  <cp:lastModifiedBy>James</cp:lastModifiedBy>
  <dcterms:modified xsi:type="dcterms:W3CDTF">2022-10-23T13:43:19Z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2ED8230175B7403AA68DE8C02DDA33F9</vt:lpwstr>
  </property>
</Properties>
</file>