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center"/>
        <w:rPr>
          <w:rFonts w:hint="eastAsia"/>
          <w:b/>
          <w:bCs/>
          <w:sz w:val="36"/>
          <w:szCs w:val="28"/>
          <w:lang w:val="en-US" w:eastAsia="zh-CN"/>
        </w:rPr>
      </w:pPr>
      <w:r>
        <w:rPr>
          <w:rFonts w:hint="eastAsia"/>
          <w:b/>
          <w:bCs/>
          <w:sz w:val="36"/>
          <w:szCs w:val="28"/>
          <w:lang w:val="en-US" w:eastAsia="zh-CN"/>
        </w:rPr>
        <w:t xml:space="preserve"> 全院医护电子签名认证信息系统</w:t>
      </w:r>
    </w:p>
    <w:p>
      <w:pPr>
        <w:pStyle w:val="24"/>
        <w:jc w:val="center"/>
        <w:rPr>
          <w:rFonts w:hint="default" w:eastAsia="宋体"/>
          <w:b/>
          <w:bCs/>
          <w:sz w:val="36"/>
          <w:szCs w:val="28"/>
          <w:lang w:val="en-US" w:eastAsia="zh-CN"/>
        </w:rPr>
      </w:pPr>
      <w:r>
        <w:rPr>
          <w:rFonts w:hint="eastAsia"/>
          <w:b/>
          <w:bCs/>
          <w:sz w:val="36"/>
          <w:szCs w:val="28"/>
          <w:lang w:val="en-US" w:eastAsia="zh-CN"/>
        </w:rPr>
        <w:t>用户需求书</w:t>
      </w:r>
    </w:p>
    <w:p>
      <w:pPr>
        <w:pStyle w:val="2"/>
        <w:spacing w:before="156"/>
      </w:pPr>
      <w:r>
        <w:rPr>
          <w:rFonts w:hint="eastAsia"/>
        </w:rPr>
        <w:t>项目背景</w:t>
      </w:r>
    </w:p>
    <w:p>
      <w:pPr>
        <w:spacing w:before="156"/>
        <w:ind w:firstLine="480"/>
        <w:rPr>
          <w:rFonts w:ascii="微软雅黑" w:hAnsi="微软雅黑" w:eastAsia="微软雅黑"/>
        </w:rPr>
      </w:pPr>
      <w:r>
        <w:rPr>
          <w:rFonts w:hint="eastAsia" w:ascii="微软雅黑" w:hAnsi="微软雅黑" w:eastAsia="微软雅黑"/>
        </w:rPr>
        <w:t>根据我院LIS、HIS、PACS、电子病历系统等医院信息系统及互联网医院的实际安全需求，设计基于数字证书的应用安全支撑体系，通过CA数字证书及证书应用相关产品和技术，实现电子认证服务与医院业务应用的有机结合，以满足PC端和移动端医院信息平台在身份认证、授权管理、责任认定等方面的信息安全需求。可对HIS、电子病历、LIS、PACS等系统实现电子签名和加盖时间戳，解决医院信息系统的身份认证、授权管理、责任认定等安全问题，解决电子病历的真实性、完整性、有效性等问题，逐步确立数字证书认证技术在我院信息化进程中信息安全保障的基础地位，并逐步实现完全无纸化的全院安全认证平台。整个系统建设须满足《中华人民共和国电子签名法》、《中华人民共和国密码法》以及《电子病历应用管理规范（试行）》等相关法律法规要求。</w:t>
      </w:r>
    </w:p>
    <w:p>
      <w:pPr>
        <w:spacing w:before="156"/>
        <w:ind w:firstLine="480"/>
        <w:rPr>
          <w:rFonts w:hint="eastAsia" w:ascii="微软雅黑" w:hAnsi="微软雅黑" w:eastAsia="微软雅黑"/>
        </w:rPr>
      </w:pPr>
    </w:p>
    <w:p>
      <w:pPr>
        <w:pStyle w:val="2"/>
        <w:spacing w:before="156"/>
      </w:pPr>
      <w:r>
        <w:rPr>
          <w:rFonts w:hint="eastAsia"/>
        </w:rPr>
        <w:t>项目建设清单</w:t>
      </w:r>
    </w:p>
    <w:tbl>
      <w:tblPr>
        <w:tblStyle w:val="15"/>
        <w:tblW w:w="993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59"/>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1" w:type="dxa"/>
            <w:vAlign w:val="center"/>
          </w:tcPr>
          <w:p>
            <w:pPr>
              <w:pStyle w:val="24"/>
              <w:rPr>
                <w:bCs/>
              </w:rPr>
            </w:pPr>
            <w:r>
              <w:rPr>
                <w:rFonts w:hint="eastAsia"/>
                <w:b/>
              </w:rPr>
              <w:t>序号</w:t>
            </w:r>
          </w:p>
        </w:tc>
        <w:tc>
          <w:tcPr>
            <w:tcW w:w="1559" w:type="dxa"/>
            <w:vAlign w:val="center"/>
          </w:tcPr>
          <w:p>
            <w:pPr>
              <w:pStyle w:val="24"/>
              <w:rPr>
                <w:bCs/>
              </w:rPr>
            </w:pPr>
            <w:r>
              <w:rPr>
                <w:rFonts w:hint="eastAsia"/>
                <w:b/>
              </w:rPr>
              <w:t>建设内容</w:t>
            </w:r>
          </w:p>
        </w:tc>
        <w:tc>
          <w:tcPr>
            <w:tcW w:w="7523" w:type="dxa"/>
            <w:shd w:val="clear" w:color="auto" w:fill="auto"/>
            <w:vAlign w:val="center"/>
          </w:tcPr>
          <w:p>
            <w:pPr>
              <w:pStyle w:val="24"/>
              <w:rPr>
                <w:bCs/>
              </w:rPr>
            </w:pPr>
            <w:r>
              <w:rPr>
                <w:rFonts w:hint="eastAsia"/>
                <w:b/>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851" w:type="dxa"/>
            <w:vAlign w:val="center"/>
          </w:tcPr>
          <w:p>
            <w:pPr>
              <w:pStyle w:val="24"/>
              <w:rPr>
                <w:bCs/>
              </w:rPr>
            </w:pPr>
            <w:r>
              <w:rPr>
                <w:rFonts w:hint="eastAsia"/>
                <w:bCs/>
              </w:rPr>
              <w:t>1</w:t>
            </w:r>
          </w:p>
        </w:tc>
        <w:tc>
          <w:tcPr>
            <w:tcW w:w="1559" w:type="dxa"/>
            <w:vAlign w:val="center"/>
          </w:tcPr>
          <w:p>
            <w:pPr>
              <w:pStyle w:val="24"/>
              <w:rPr>
                <w:rFonts w:hint="eastAsia"/>
              </w:rPr>
            </w:pPr>
            <w:r>
              <w:rPr>
                <w:rFonts w:hint="eastAsia"/>
              </w:rPr>
              <w:t>协同签名系统</w:t>
            </w:r>
          </w:p>
        </w:tc>
        <w:tc>
          <w:tcPr>
            <w:tcW w:w="7523" w:type="dxa"/>
            <w:shd w:val="clear" w:color="auto" w:fill="auto"/>
            <w:vAlign w:val="center"/>
          </w:tcPr>
          <w:p>
            <w:pPr>
              <w:pStyle w:val="24"/>
              <w:numPr>
                <w:ilvl w:val="0"/>
                <w:numId w:val="2"/>
              </w:numPr>
              <w:rPr>
                <w:rFonts w:hint="eastAsia"/>
              </w:rPr>
            </w:pPr>
            <w:r>
              <w:rPr>
                <w:rFonts w:hint="eastAsia"/>
              </w:rPr>
              <w:t>产品支持基于数字证书的安全认证登录管理功能，能实现多种角色管理，包括但不限于管理员、操作员、审计员等</w:t>
            </w:r>
          </w:p>
          <w:p>
            <w:pPr>
              <w:pStyle w:val="24"/>
              <w:numPr>
                <w:ilvl w:val="0"/>
                <w:numId w:val="2"/>
              </w:numPr>
              <w:rPr>
                <w:rFonts w:hint="eastAsia"/>
              </w:rPr>
            </w:pPr>
            <w:r>
              <w:rPr>
                <w:rFonts w:hint="eastAsia"/>
              </w:rPr>
              <w:t>支持基于服务端的签名任务发起和签名结果获取</w:t>
            </w:r>
          </w:p>
          <w:p>
            <w:pPr>
              <w:pStyle w:val="24"/>
              <w:numPr>
                <w:ilvl w:val="0"/>
                <w:numId w:val="2"/>
              </w:numPr>
              <w:rPr>
                <w:rFonts w:hint="eastAsia"/>
              </w:rPr>
            </w:pPr>
            <w:r>
              <w:rPr>
                <w:rFonts w:hint="eastAsia"/>
              </w:rPr>
              <w:t>基于协同密钥技术来实现移动端用户私钥的生成和使用</w:t>
            </w:r>
          </w:p>
          <w:p>
            <w:pPr>
              <w:pStyle w:val="24"/>
              <w:numPr>
                <w:ilvl w:val="0"/>
                <w:numId w:val="2"/>
              </w:numPr>
              <w:rPr>
                <w:rFonts w:hint="eastAsia"/>
              </w:rPr>
            </w:pPr>
            <w:r>
              <w:rPr>
                <w:rFonts w:hint="eastAsia"/>
              </w:rPr>
              <w:t>支持在线、离线证书签发模式、日志及审计功能</w:t>
            </w:r>
          </w:p>
          <w:p>
            <w:pPr>
              <w:pStyle w:val="24"/>
              <w:numPr>
                <w:ilvl w:val="0"/>
                <w:numId w:val="2"/>
              </w:numPr>
              <w:rPr>
                <w:rFonts w:hint="eastAsia"/>
              </w:rPr>
            </w:pPr>
            <w:r>
              <w:rPr>
                <w:rFonts w:hint="eastAsia"/>
              </w:rPr>
              <w:t>支持用户量、签名量、证数量的统计分析</w:t>
            </w:r>
          </w:p>
          <w:p>
            <w:pPr>
              <w:pStyle w:val="24"/>
              <w:numPr>
                <w:ilvl w:val="0"/>
                <w:numId w:val="2"/>
              </w:numPr>
              <w:rPr>
                <w:rFonts w:hint="eastAsia"/>
              </w:rPr>
            </w:pPr>
            <w:r>
              <w:rPr>
                <w:rFonts w:hint="eastAsia"/>
              </w:rPr>
              <w:t>支持一人多设备、一设备多人的应用场景；</w:t>
            </w:r>
          </w:p>
          <w:p>
            <w:pPr>
              <w:pStyle w:val="24"/>
              <w:numPr>
                <w:ilvl w:val="0"/>
                <w:numId w:val="2"/>
              </w:numPr>
              <w:rPr>
                <w:rFonts w:hint="eastAsia"/>
              </w:rPr>
            </w:pPr>
            <w:r>
              <w:rPr>
                <w:rFonts w:hint="eastAsia"/>
              </w:rPr>
              <w:t>支持个人限制单证书的开关，关闭时同一个用户可在多个设备下载证书</w:t>
            </w:r>
          </w:p>
          <w:p>
            <w:pPr>
              <w:pStyle w:val="24"/>
              <w:numPr>
                <w:ilvl w:val="0"/>
                <w:numId w:val="2"/>
              </w:numPr>
              <w:rPr>
                <w:rFonts w:hint="eastAsia"/>
              </w:rPr>
            </w:pPr>
            <w:r>
              <w:rPr>
                <w:rFonts w:hint="eastAsia"/>
              </w:rPr>
              <w:t>支持授权签名：用户只需要使用手机在PC端完成一次授权即可多次签名，并可以关闭授权</w:t>
            </w:r>
          </w:p>
          <w:p>
            <w:pPr>
              <w:pStyle w:val="24"/>
              <w:numPr>
                <w:ilvl w:val="0"/>
                <w:numId w:val="2"/>
              </w:numPr>
              <w:rPr>
                <w:rFonts w:hint="eastAsia"/>
              </w:rPr>
            </w:pPr>
            <w:r>
              <w:rPr>
                <w:rFonts w:hint="eastAsia"/>
              </w:rPr>
              <w:t>支持推送签名：用户以推送的方式发起签名，签名者在手机端收到推送后直接完成签名；支持在签名任务中添加签名描述信息</w:t>
            </w:r>
          </w:p>
          <w:p>
            <w:pPr>
              <w:pStyle w:val="24"/>
              <w:numPr>
                <w:ilvl w:val="0"/>
                <w:numId w:val="2"/>
              </w:numPr>
              <w:rPr>
                <w:rFonts w:hint="eastAsia"/>
              </w:rPr>
            </w:pPr>
            <w:r>
              <w:rPr>
                <w:rFonts w:hint="eastAsia"/>
              </w:rPr>
              <w:t>支持通过管理页面设置签章图片</w:t>
            </w:r>
          </w:p>
          <w:p>
            <w:pPr>
              <w:pStyle w:val="24"/>
              <w:numPr>
                <w:ilvl w:val="0"/>
                <w:numId w:val="2"/>
              </w:numPr>
              <w:rPr>
                <w:rFonts w:hint="eastAsia"/>
              </w:rPr>
            </w:pPr>
            <w:r>
              <w:rPr>
                <w:rFonts w:hint="eastAsia"/>
              </w:rPr>
              <w:t>支持通过系统唯一用户标识绑定用户身份</w:t>
            </w:r>
          </w:p>
          <w:p>
            <w:pPr>
              <w:pStyle w:val="24"/>
              <w:numPr>
                <w:ilvl w:val="0"/>
                <w:numId w:val="2"/>
              </w:numPr>
              <w:rPr>
                <w:rFonts w:hint="eastAsia"/>
              </w:rPr>
            </w:pPr>
            <w:r>
              <w:rPr>
                <w:rFonts w:hint="eastAsia"/>
              </w:rPr>
              <w:t>支持批量离线签发数字证书</w:t>
            </w:r>
          </w:p>
          <w:p>
            <w:pPr>
              <w:pStyle w:val="24"/>
              <w:numPr>
                <w:ilvl w:val="0"/>
                <w:numId w:val="2"/>
              </w:numPr>
              <w:rPr>
                <w:rFonts w:hint="eastAsia"/>
              </w:rPr>
            </w:pPr>
            <w:r>
              <w:rPr>
                <w:rFonts w:hint="eastAsia"/>
              </w:rPr>
              <w:t>支持通过页面批量导入用户基础信息，支持通过页面批量导入用户签章图片</w:t>
            </w:r>
          </w:p>
          <w:p>
            <w:pPr>
              <w:pStyle w:val="24"/>
              <w:numPr>
                <w:ilvl w:val="0"/>
                <w:numId w:val="2"/>
              </w:numPr>
              <w:rPr>
                <w:rFonts w:hint="eastAsia"/>
              </w:rPr>
            </w:pPr>
            <w:r>
              <w:rPr>
                <w:rFonts w:hint="eastAsia"/>
              </w:rPr>
              <w:t>支持通过接口添加用户信息，支持CRL配置和根证书配置，支持标准签名验证，能够与USBKey签名互通，支持证书有效性验证</w:t>
            </w:r>
          </w:p>
          <w:p>
            <w:pPr>
              <w:pStyle w:val="24"/>
              <w:numPr>
                <w:ilvl w:val="0"/>
                <w:numId w:val="2"/>
              </w:numPr>
              <w:rPr>
                <w:rFonts w:hint="eastAsia"/>
              </w:rPr>
            </w:pPr>
            <w:r>
              <w:rPr>
                <w:rFonts w:hint="eastAsia"/>
              </w:rPr>
              <w:t>持系统状态一键检测</w:t>
            </w:r>
          </w:p>
          <w:p>
            <w:pPr>
              <w:pStyle w:val="24"/>
              <w:numPr>
                <w:ilvl w:val="0"/>
                <w:numId w:val="2"/>
              </w:numPr>
              <w:rPr>
                <w:rFonts w:hint="eastAsia"/>
              </w:rPr>
            </w:pPr>
            <w:r>
              <w:rPr>
                <w:rFonts w:hint="eastAsia"/>
              </w:rPr>
              <w:t>支持通过NTP进行时间同步</w:t>
            </w:r>
          </w:p>
          <w:p>
            <w:pPr>
              <w:pStyle w:val="24"/>
              <w:numPr>
                <w:ilvl w:val="0"/>
                <w:numId w:val="2"/>
              </w:numPr>
              <w:rPr>
                <w:rFonts w:hint="eastAsia"/>
              </w:rPr>
            </w:pPr>
            <w:r>
              <w:rPr>
                <w:rFonts w:hint="eastAsia"/>
              </w:rPr>
              <w:t>支持双机和集群部署</w:t>
            </w:r>
          </w:p>
          <w:p>
            <w:pPr>
              <w:pStyle w:val="24"/>
              <w:numPr>
                <w:ilvl w:val="0"/>
                <w:numId w:val="2"/>
              </w:numPr>
            </w:pPr>
            <w:r>
              <w:rPr>
                <w:rFonts w:hint="eastAsia"/>
              </w:rPr>
              <w:t>支持通过轮询或注册回调方式获取签名结果</w:t>
            </w:r>
          </w:p>
          <w:p>
            <w:pPr>
              <w:pStyle w:val="24"/>
              <w:numPr>
                <w:ilvl w:val="0"/>
                <w:numId w:val="2"/>
              </w:numPr>
              <w:rPr>
                <w:rFonts w:hint="eastAsia"/>
              </w:rPr>
            </w:pPr>
            <w:r>
              <w:rPr>
                <w:rFonts w:hint="eastAsia"/>
              </w:rPr>
              <w:t>高度：≤2U，网络接口：≧2*1000M</w:t>
            </w:r>
          </w:p>
          <w:p>
            <w:pPr>
              <w:pStyle w:val="24"/>
              <w:numPr>
                <w:ilvl w:val="0"/>
                <w:numId w:val="2"/>
              </w:numPr>
              <w:rPr>
                <w:rFonts w:hint="eastAsia"/>
              </w:rPr>
            </w:pPr>
            <w:r>
              <w:rPr>
                <w:rFonts w:hint="eastAsia"/>
              </w:rPr>
              <w:t>CPU≧3.5GHz 四核，内存≧1*8G，硬盘≧2*2T</w:t>
            </w:r>
          </w:p>
          <w:p>
            <w:pPr>
              <w:pStyle w:val="24"/>
              <w:numPr>
                <w:ilvl w:val="0"/>
                <w:numId w:val="2"/>
              </w:numPr>
              <w:rPr>
                <w:rFonts w:hint="eastAsia"/>
              </w:rPr>
            </w:pPr>
            <w:r>
              <w:rPr>
                <w:rFonts w:hint="eastAsia"/>
              </w:rPr>
              <w:t>服务端签名性能≧300TPS，客户端签名性能≧</w:t>
            </w:r>
            <w:r>
              <w:t>500</w:t>
            </w:r>
            <w:r>
              <w:rPr>
                <w:rFonts w:hint="eastAsia"/>
              </w:rPr>
              <w:t>0</w:t>
            </w:r>
            <w:r>
              <w:t>TPS</w:t>
            </w:r>
          </w:p>
          <w:p>
            <w:pPr>
              <w:pStyle w:val="24"/>
              <w:numPr>
                <w:ilvl w:val="0"/>
                <w:numId w:val="2"/>
              </w:numPr>
            </w:pPr>
            <w:r>
              <w:rPr>
                <w:rFonts w:hint="eastAsia"/>
              </w:rPr>
              <w:t>电源指标：工控电源，双电源</w:t>
            </w:r>
          </w:p>
          <w:p>
            <w:pPr>
              <w:pStyle w:val="24"/>
              <w:numPr>
                <w:ilvl w:val="0"/>
                <w:numId w:val="2"/>
              </w:numPr>
              <w:rPr>
                <w:rFonts w:hint="eastAsia"/>
              </w:rPr>
            </w:pPr>
            <w:r>
              <w:rPr>
                <w:rFonts w:hint="eastAsia"/>
              </w:rPr>
              <w:t>所投协同签名系统具备《商用密码产品认证证书》,提供证书复印件并加盖投标人或制造厂商公章。</w:t>
            </w:r>
          </w:p>
          <w:p>
            <w:pPr>
              <w:pStyle w:val="24"/>
              <w:numPr>
                <w:ilvl w:val="0"/>
                <w:numId w:val="2"/>
              </w:numPr>
              <w:rPr>
                <w:rFonts w:hint="eastAsia"/>
              </w:rPr>
            </w:pPr>
            <w:r>
              <w:rPr>
                <w:rFonts w:hint="eastAsia"/>
              </w:rPr>
              <w:t>所投协同签名系统具有IPv6 Ready Logo认证证书，提供证书复印件并加盖投标人或制造厂商公章。</w:t>
            </w:r>
          </w:p>
          <w:p>
            <w:pPr>
              <w:pStyle w:val="24"/>
              <w:numPr>
                <w:ilvl w:val="0"/>
                <w:numId w:val="2"/>
              </w:numPr>
            </w:pPr>
            <w:r>
              <w:rPr>
                <w:rFonts w:hint="eastAsia"/>
              </w:rPr>
              <w:t>所投协同签名系统具有CMA、CNAS认证的第三方公证地位的检验机构出具的检验检测报告，提供报告复印件并加盖投标人或制造厂商公</w:t>
            </w:r>
            <w:bookmarkStart w:id="0" w:name="_GoBack"/>
            <w:bookmarkEnd w:id="0"/>
            <w:r>
              <w:rPr>
                <w:rFonts w:hint="eastAsia"/>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851" w:type="dxa"/>
            <w:vAlign w:val="center"/>
          </w:tcPr>
          <w:p>
            <w:pPr>
              <w:pStyle w:val="24"/>
              <w:rPr>
                <w:bCs/>
              </w:rPr>
            </w:pPr>
            <w:r>
              <w:rPr>
                <w:rFonts w:hint="eastAsia"/>
                <w:bCs/>
              </w:rPr>
              <w:t>2</w:t>
            </w:r>
          </w:p>
        </w:tc>
        <w:tc>
          <w:tcPr>
            <w:tcW w:w="1559" w:type="dxa"/>
            <w:vAlign w:val="center"/>
          </w:tcPr>
          <w:p>
            <w:pPr>
              <w:pStyle w:val="24"/>
            </w:pPr>
            <w:r>
              <w:rPr>
                <w:rFonts w:hint="eastAsia"/>
              </w:rPr>
              <w:t>时间戳服务器</w:t>
            </w:r>
          </w:p>
        </w:tc>
        <w:tc>
          <w:tcPr>
            <w:tcW w:w="7523" w:type="dxa"/>
            <w:shd w:val="clear" w:color="auto" w:fill="auto"/>
            <w:vAlign w:val="center"/>
          </w:tcPr>
          <w:p>
            <w:pPr>
              <w:pStyle w:val="24"/>
              <w:numPr>
                <w:ilvl w:val="0"/>
                <w:numId w:val="3"/>
              </w:numPr>
              <w:rPr>
                <w:rFonts w:hint="eastAsia"/>
                <w:bCs/>
              </w:rPr>
            </w:pPr>
            <w:r>
              <w:rPr>
                <w:rFonts w:hint="eastAsia"/>
                <w:bCs/>
              </w:rPr>
              <w:t>提供时间戳签发和验证服务</w:t>
            </w:r>
          </w:p>
          <w:p>
            <w:pPr>
              <w:pStyle w:val="24"/>
              <w:numPr>
                <w:ilvl w:val="0"/>
                <w:numId w:val="3"/>
              </w:numPr>
              <w:rPr>
                <w:rFonts w:hint="eastAsia"/>
                <w:bCs/>
              </w:rPr>
            </w:pPr>
            <w:r>
              <w:rPr>
                <w:rFonts w:hint="eastAsia"/>
                <w:bCs/>
              </w:rPr>
              <w:t>内置权威时间源模块，信号源4G/5G、GPS、北斗三合一，符合国家授时中心的时间精度标准，并且经国家授时中心的权威鉴定测试，时间误差＜2毫秒；</w:t>
            </w:r>
          </w:p>
          <w:p>
            <w:pPr>
              <w:pStyle w:val="24"/>
              <w:numPr>
                <w:ilvl w:val="0"/>
                <w:numId w:val="3"/>
              </w:numPr>
              <w:rPr>
                <w:rFonts w:hint="eastAsia"/>
                <w:bCs/>
              </w:rPr>
            </w:pPr>
            <w:r>
              <w:rPr>
                <w:rFonts w:hint="eastAsia"/>
                <w:bCs/>
              </w:rPr>
              <w:t>授时精度0.5-3ms(毫秒)，守时精度&lt;1ms（72小时）</w:t>
            </w:r>
          </w:p>
          <w:p>
            <w:pPr>
              <w:pStyle w:val="24"/>
              <w:numPr>
                <w:ilvl w:val="0"/>
                <w:numId w:val="3"/>
              </w:numPr>
              <w:rPr>
                <w:rFonts w:hint="eastAsia"/>
                <w:bCs/>
              </w:rPr>
            </w:pPr>
            <w:r>
              <w:rPr>
                <w:rFonts w:hint="eastAsia"/>
                <w:bCs/>
              </w:rPr>
              <w:t>内置恒温晶振，日老化率5E-10，秒稳定度优于2E-11，日平均准确度优于1E-12</w:t>
            </w:r>
          </w:p>
          <w:p>
            <w:pPr>
              <w:pStyle w:val="24"/>
              <w:numPr>
                <w:ilvl w:val="0"/>
                <w:numId w:val="3"/>
              </w:numPr>
              <w:rPr>
                <w:rFonts w:hint="eastAsia"/>
                <w:bCs/>
              </w:rPr>
            </w:pPr>
            <w:r>
              <w:rPr>
                <w:rFonts w:hint="eastAsia"/>
                <w:bCs/>
              </w:rPr>
              <w:t>输出标准时间信号包括公历（年、月、日、时、分、秒）</w:t>
            </w:r>
          </w:p>
          <w:p>
            <w:pPr>
              <w:pStyle w:val="24"/>
              <w:numPr>
                <w:ilvl w:val="0"/>
                <w:numId w:val="3"/>
              </w:numPr>
              <w:rPr>
                <w:rFonts w:hint="eastAsia"/>
                <w:bCs/>
              </w:rPr>
            </w:pPr>
            <w:r>
              <w:rPr>
                <w:rFonts w:hint="eastAsia"/>
                <w:bCs/>
              </w:rPr>
              <w:t>对外可提供高稳定、高性能的服务，支持热备负载功能</w:t>
            </w:r>
          </w:p>
          <w:p>
            <w:pPr>
              <w:pStyle w:val="24"/>
              <w:numPr>
                <w:ilvl w:val="0"/>
                <w:numId w:val="3"/>
              </w:numPr>
              <w:rPr>
                <w:rFonts w:hint="eastAsia"/>
                <w:bCs/>
              </w:rPr>
            </w:pPr>
            <w:r>
              <w:rPr>
                <w:rFonts w:hint="eastAsia"/>
                <w:bCs/>
              </w:rPr>
              <w:t>支持黑白名单访问策略，采用动态更新方式</w:t>
            </w:r>
          </w:p>
          <w:p>
            <w:pPr>
              <w:pStyle w:val="24"/>
              <w:numPr>
                <w:ilvl w:val="0"/>
                <w:numId w:val="3"/>
              </w:numPr>
              <w:rPr>
                <w:rFonts w:hint="eastAsia"/>
                <w:bCs/>
              </w:rPr>
            </w:pPr>
            <w:r>
              <w:rPr>
                <w:rFonts w:hint="eastAsia"/>
                <w:bCs/>
              </w:rPr>
              <w:t>支持国密算法SM2、SM3</w:t>
            </w:r>
          </w:p>
          <w:p>
            <w:pPr>
              <w:pStyle w:val="24"/>
              <w:numPr>
                <w:ilvl w:val="0"/>
                <w:numId w:val="3"/>
              </w:numPr>
              <w:rPr>
                <w:rFonts w:hint="eastAsia"/>
                <w:bCs/>
              </w:rPr>
            </w:pPr>
            <w:r>
              <w:rPr>
                <w:rFonts w:hint="eastAsia"/>
                <w:bCs/>
              </w:rPr>
              <w:t>系统支持可视化管理，包括时间戳签名统计、系统监控、设备硬件及软件的运行状态监测功能</w:t>
            </w:r>
          </w:p>
          <w:p>
            <w:pPr>
              <w:pStyle w:val="24"/>
              <w:numPr>
                <w:ilvl w:val="0"/>
                <w:numId w:val="3"/>
              </w:numPr>
              <w:rPr>
                <w:rFonts w:hint="eastAsia"/>
                <w:bCs/>
              </w:rPr>
            </w:pPr>
            <w:r>
              <w:rPr>
                <w:rFonts w:hint="eastAsia"/>
                <w:bCs/>
              </w:rPr>
              <w:t>支持系统日志审计、业务日志保存、业务日志查询等功能；</w:t>
            </w:r>
          </w:p>
          <w:p>
            <w:pPr>
              <w:pStyle w:val="24"/>
              <w:numPr>
                <w:ilvl w:val="0"/>
                <w:numId w:val="3"/>
              </w:numPr>
              <w:rPr>
                <w:rFonts w:hint="eastAsia"/>
                <w:bCs/>
              </w:rPr>
            </w:pPr>
            <w:r>
              <w:rPr>
                <w:rFonts w:hint="eastAsia"/>
                <w:bCs/>
              </w:rPr>
              <w:t>提供备份恢复功能，可通过界面备份当前所有配置，保证系统瘫痪时的快速恢复</w:t>
            </w:r>
          </w:p>
          <w:p>
            <w:pPr>
              <w:pStyle w:val="24"/>
              <w:numPr>
                <w:ilvl w:val="0"/>
                <w:numId w:val="3"/>
              </w:numPr>
              <w:rPr>
                <w:rFonts w:hint="eastAsia"/>
                <w:bCs/>
              </w:rPr>
            </w:pPr>
            <w:r>
              <w:rPr>
                <w:rFonts w:hint="eastAsia"/>
                <w:bCs/>
              </w:rPr>
              <w:t>时间戳签发效率：SM2签发不低于1000次/秒次/秒，SM2验证不低于500次/秒</w:t>
            </w:r>
          </w:p>
          <w:p>
            <w:pPr>
              <w:pStyle w:val="24"/>
              <w:numPr>
                <w:ilvl w:val="0"/>
                <w:numId w:val="3"/>
              </w:numPr>
              <w:rPr>
                <w:rFonts w:hint="eastAsia"/>
                <w:bCs/>
              </w:rPr>
            </w:pPr>
            <w:r>
              <w:rPr>
                <w:rFonts w:hint="eastAsia"/>
                <w:bCs/>
              </w:rPr>
              <w:t>所投时间戳服务器具备国家密码管理局颁发的《商用密码产品型号证书》，提供证书复印件并加盖供应商或制造厂商公章。</w:t>
            </w:r>
          </w:p>
          <w:p>
            <w:pPr>
              <w:pStyle w:val="24"/>
              <w:numPr>
                <w:ilvl w:val="0"/>
                <w:numId w:val="3"/>
              </w:numPr>
              <w:rPr>
                <w:rFonts w:hint="eastAsia"/>
                <w:bCs/>
              </w:rPr>
            </w:pPr>
            <w:r>
              <w:rPr>
                <w:rFonts w:hint="eastAsia"/>
                <w:bCs/>
              </w:rPr>
              <w:t>所投时间戳服务器通过国家网络与信息系统安全产品质量监督检验中心的漏洞覆盖测试，并获得《信息技术产品安全测试证书》，提供证书复印件并加盖供应商或制造厂商公章。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9" w:hRule="atLeast"/>
        </w:trPr>
        <w:tc>
          <w:tcPr>
            <w:tcW w:w="851" w:type="dxa"/>
            <w:vAlign w:val="center"/>
          </w:tcPr>
          <w:p>
            <w:pPr>
              <w:pStyle w:val="24"/>
              <w:rPr>
                <w:bCs/>
              </w:rPr>
            </w:pPr>
            <w:r>
              <w:rPr>
                <w:rFonts w:hint="eastAsia"/>
                <w:bCs/>
              </w:rPr>
              <w:t>3</w:t>
            </w:r>
          </w:p>
        </w:tc>
        <w:tc>
          <w:tcPr>
            <w:tcW w:w="1559" w:type="dxa"/>
            <w:vAlign w:val="center"/>
          </w:tcPr>
          <w:p>
            <w:pPr>
              <w:pStyle w:val="24"/>
              <w:rPr>
                <w:bCs/>
              </w:rPr>
            </w:pPr>
            <w:r>
              <w:rPr>
                <w:rFonts w:hint="eastAsia"/>
                <w:bCs/>
              </w:rPr>
              <w:t>移动端APP或S</w:t>
            </w:r>
            <w:r>
              <w:rPr>
                <w:bCs/>
              </w:rPr>
              <w:t>DK</w:t>
            </w:r>
          </w:p>
        </w:tc>
        <w:tc>
          <w:tcPr>
            <w:tcW w:w="7523" w:type="dxa"/>
            <w:shd w:val="clear" w:color="auto" w:fill="auto"/>
            <w:vAlign w:val="center"/>
          </w:tcPr>
          <w:p>
            <w:pPr>
              <w:pStyle w:val="24"/>
              <w:numPr>
                <w:ilvl w:val="0"/>
                <w:numId w:val="4"/>
              </w:numPr>
              <w:rPr>
                <w:rFonts w:hint="eastAsia"/>
                <w:bCs/>
              </w:rPr>
            </w:pPr>
            <w:r>
              <w:rPr>
                <w:rFonts w:hint="eastAsia"/>
                <w:bCs/>
              </w:rPr>
              <w:t>移动端提供SDK和APP两种形态模块</w:t>
            </w:r>
          </w:p>
          <w:p>
            <w:pPr>
              <w:pStyle w:val="24"/>
              <w:numPr>
                <w:ilvl w:val="0"/>
                <w:numId w:val="4"/>
              </w:numPr>
              <w:rPr>
                <w:rFonts w:hint="eastAsia"/>
                <w:bCs/>
              </w:rPr>
            </w:pPr>
            <w:r>
              <w:rPr>
                <w:rFonts w:hint="eastAsia"/>
                <w:bCs/>
              </w:rPr>
              <w:t>移动端支持基于激活码下载证书和扫码下载证书</w:t>
            </w:r>
          </w:p>
          <w:p>
            <w:pPr>
              <w:pStyle w:val="24"/>
              <w:numPr>
                <w:ilvl w:val="0"/>
                <w:numId w:val="4"/>
              </w:numPr>
              <w:rPr>
                <w:rFonts w:hint="eastAsia"/>
                <w:bCs/>
              </w:rPr>
            </w:pPr>
            <w:r>
              <w:rPr>
                <w:rFonts w:hint="eastAsia"/>
                <w:bCs/>
              </w:rPr>
              <w:t>移动端支持基于签名任务id和扫码签名</w:t>
            </w:r>
          </w:p>
          <w:p>
            <w:pPr>
              <w:pStyle w:val="24"/>
              <w:numPr>
                <w:ilvl w:val="0"/>
                <w:numId w:val="4"/>
              </w:numPr>
              <w:rPr>
                <w:rFonts w:hint="eastAsia"/>
                <w:bCs/>
              </w:rPr>
            </w:pPr>
            <w:r>
              <w:rPr>
                <w:rFonts w:hint="eastAsia"/>
                <w:bCs/>
              </w:rPr>
              <w:t>移动端APP支持扫码签名、推送签名</w:t>
            </w:r>
          </w:p>
          <w:p>
            <w:pPr>
              <w:pStyle w:val="24"/>
              <w:numPr>
                <w:ilvl w:val="0"/>
                <w:numId w:val="4"/>
              </w:numPr>
              <w:rPr>
                <w:rFonts w:hint="eastAsia"/>
                <w:bCs/>
              </w:rPr>
            </w:pPr>
            <w:r>
              <w:rPr>
                <w:rFonts w:hint="eastAsia"/>
                <w:bCs/>
              </w:rPr>
              <w:t>移动端APP支持通过扫码或手动方式配置服务端</w:t>
            </w:r>
          </w:p>
          <w:p>
            <w:pPr>
              <w:pStyle w:val="24"/>
              <w:numPr>
                <w:ilvl w:val="0"/>
                <w:numId w:val="4"/>
              </w:numPr>
              <w:rPr>
                <w:rFonts w:hint="eastAsia"/>
                <w:bCs/>
              </w:rPr>
            </w:pPr>
            <w:r>
              <w:rPr>
                <w:rFonts w:hint="eastAsia"/>
                <w:bCs/>
              </w:rPr>
              <w:t>移动端APP要能够在Android应用市场和苹果AppStore中已经发布</w:t>
            </w:r>
          </w:p>
          <w:p>
            <w:pPr>
              <w:pStyle w:val="24"/>
              <w:numPr>
                <w:ilvl w:val="0"/>
                <w:numId w:val="4"/>
              </w:numPr>
              <w:rPr>
                <w:rFonts w:hint="eastAsia"/>
                <w:bCs/>
              </w:rPr>
            </w:pPr>
            <w:r>
              <w:rPr>
                <w:rFonts w:hint="eastAsia"/>
                <w:bCs/>
              </w:rPr>
              <w:t>移动端SDK支持批量拉取签名任务：支持批量拉去待签名任务</w:t>
            </w:r>
          </w:p>
          <w:p>
            <w:pPr>
              <w:pStyle w:val="24"/>
              <w:numPr>
                <w:ilvl w:val="0"/>
                <w:numId w:val="4"/>
              </w:numPr>
              <w:rPr>
                <w:rFonts w:hint="eastAsia"/>
                <w:bCs/>
              </w:rPr>
            </w:pPr>
            <w:r>
              <w:rPr>
                <w:rFonts w:hint="eastAsia"/>
                <w:bCs/>
              </w:rPr>
              <w:t>移动端SDK支持传PIN码签名：支持通过传入PIN码的方式进行签名。</w:t>
            </w:r>
          </w:p>
          <w:p>
            <w:pPr>
              <w:pStyle w:val="24"/>
              <w:numPr>
                <w:ilvl w:val="0"/>
                <w:numId w:val="4"/>
              </w:numPr>
              <w:rPr>
                <w:rFonts w:hint="eastAsia"/>
                <w:bCs/>
              </w:rPr>
            </w:pPr>
            <w:r>
              <w:rPr>
                <w:rFonts w:hint="eastAsia"/>
                <w:bCs/>
              </w:rPr>
              <w:t>移动端支持通过PIN码或指纹进行认证后签名；</w:t>
            </w:r>
          </w:p>
          <w:p>
            <w:pPr>
              <w:pStyle w:val="24"/>
              <w:numPr>
                <w:ilvl w:val="0"/>
                <w:numId w:val="4"/>
              </w:numPr>
              <w:rPr>
                <w:rFonts w:hint="eastAsia"/>
                <w:bCs/>
              </w:rPr>
            </w:pPr>
            <w:r>
              <w:rPr>
                <w:rFonts w:hint="eastAsia"/>
                <w:bCs/>
              </w:rPr>
              <w:t>移动端SDK支持开启和关闭指纹。</w:t>
            </w:r>
          </w:p>
          <w:p>
            <w:pPr>
              <w:pStyle w:val="24"/>
              <w:numPr>
                <w:ilvl w:val="0"/>
                <w:numId w:val="4"/>
              </w:numPr>
              <w:rPr>
                <w:bCs/>
              </w:rPr>
            </w:pPr>
            <w:r>
              <w:rPr>
                <w:rFonts w:hint="eastAsia"/>
                <w:bCs/>
              </w:rPr>
              <w:t>所投移动端APP或SDK具备移动智能终端安全密码模块《商用密码产品认证证书》,提供证书复印件并加盖供应商或制造厂商公章。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51" w:type="dxa"/>
            <w:vAlign w:val="center"/>
          </w:tcPr>
          <w:p>
            <w:pPr>
              <w:pStyle w:val="24"/>
              <w:rPr>
                <w:bCs/>
              </w:rPr>
            </w:pPr>
            <w:r>
              <w:rPr>
                <w:rFonts w:hint="eastAsia"/>
                <w:bCs/>
              </w:rPr>
              <w:t>4</w:t>
            </w:r>
          </w:p>
        </w:tc>
        <w:tc>
          <w:tcPr>
            <w:tcW w:w="1559" w:type="dxa"/>
            <w:vAlign w:val="center"/>
          </w:tcPr>
          <w:p>
            <w:pPr>
              <w:pStyle w:val="24"/>
              <w:rPr>
                <w:bCs/>
              </w:rPr>
            </w:pPr>
            <w:r>
              <w:rPr>
                <w:rFonts w:hint="eastAsia"/>
                <w:bCs/>
              </w:rPr>
              <w:t>个人数字证书</w:t>
            </w:r>
          </w:p>
        </w:tc>
        <w:tc>
          <w:tcPr>
            <w:tcW w:w="7523" w:type="dxa"/>
            <w:shd w:val="clear" w:color="auto" w:fill="auto"/>
            <w:vAlign w:val="center"/>
          </w:tcPr>
          <w:p>
            <w:pPr>
              <w:pStyle w:val="24"/>
              <w:numPr>
                <w:ilvl w:val="0"/>
                <w:numId w:val="5"/>
              </w:numPr>
              <w:rPr>
                <w:rFonts w:hint="eastAsia"/>
                <w:bCs/>
              </w:rPr>
            </w:pPr>
            <w:r>
              <w:rPr>
                <w:rFonts w:hint="eastAsia"/>
                <w:bCs/>
              </w:rPr>
              <w:t>标识用户人员用户网络身份</w:t>
            </w:r>
          </w:p>
          <w:p>
            <w:pPr>
              <w:pStyle w:val="24"/>
              <w:numPr>
                <w:ilvl w:val="0"/>
                <w:numId w:val="5"/>
              </w:numPr>
              <w:rPr>
                <w:rFonts w:hint="eastAsia"/>
                <w:bCs/>
              </w:rPr>
            </w:pPr>
            <w:r>
              <w:rPr>
                <w:rFonts w:hint="eastAsia"/>
                <w:bCs/>
              </w:rPr>
              <w:t>数字证书应支持SM2等国产密码算法</w:t>
            </w:r>
          </w:p>
          <w:p>
            <w:pPr>
              <w:pStyle w:val="24"/>
              <w:numPr>
                <w:ilvl w:val="0"/>
                <w:numId w:val="5"/>
              </w:numPr>
              <w:rPr>
                <w:rFonts w:hint="eastAsia"/>
                <w:bCs/>
              </w:rPr>
            </w:pPr>
            <w:r>
              <w:rPr>
                <w:rFonts w:hint="eastAsia"/>
                <w:bCs/>
              </w:rPr>
              <w:t>密钥由移动终端和服务器协商产生，采用密钥分割技术保存密钥</w:t>
            </w:r>
          </w:p>
          <w:p>
            <w:pPr>
              <w:pStyle w:val="24"/>
              <w:numPr>
                <w:ilvl w:val="0"/>
                <w:numId w:val="5"/>
              </w:numPr>
              <w:rPr>
                <w:bCs/>
              </w:rPr>
            </w:pPr>
            <w:r>
              <w:rPr>
                <w:rFonts w:hint="eastAsia"/>
                <w:bCs/>
              </w:rPr>
              <w:t>支持自定义证书扩展域管理</w:t>
            </w:r>
          </w:p>
        </w:tc>
      </w:tr>
    </w:tbl>
    <w:p>
      <w:pPr>
        <w:pStyle w:val="24"/>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E1186"/>
    <w:multiLevelType w:val="multilevel"/>
    <w:tmpl w:val="1B6E1186"/>
    <w:lvl w:ilvl="0" w:tentative="0">
      <w:start w:val="1"/>
      <w:numFmt w:val="decimal"/>
      <w:suff w:val="nothing"/>
      <w:lvlText w:val="%1、"/>
      <w:lvlJc w:val="left"/>
      <w:pPr>
        <w:ind w:left="360" w:hanging="360"/>
      </w:pPr>
      <w:rPr>
        <w:rFonts w:hint="eastAsia"/>
      </w:rPr>
    </w:lvl>
    <w:lvl w:ilvl="1" w:tentative="0">
      <w:start w:val="1"/>
      <w:numFmt w:val="lowerLetter"/>
      <w:lvlText w:val="%2)"/>
      <w:lvlJc w:val="left"/>
      <w:pPr>
        <w:ind w:left="960" w:hanging="480"/>
      </w:pPr>
      <w:rPr>
        <w:rFonts w:hint="eastAsia"/>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lowerLetter"/>
      <w:lvlText w:val="%5)"/>
      <w:lvlJc w:val="left"/>
      <w:pPr>
        <w:ind w:left="2400" w:hanging="480"/>
      </w:pPr>
      <w:rPr>
        <w:rFonts w:hint="eastAsia"/>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lowerLetter"/>
      <w:lvlText w:val="%8)"/>
      <w:lvlJc w:val="left"/>
      <w:pPr>
        <w:ind w:left="3840" w:hanging="480"/>
      </w:pPr>
      <w:rPr>
        <w:rFonts w:hint="eastAsia"/>
      </w:rPr>
    </w:lvl>
    <w:lvl w:ilvl="8" w:tentative="0">
      <w:start w:val="1"/>
      <w:numFmt w:val="lowerRoman"/>
      <w:lvlText w:val="%9."/>
      <w:lvlJc w:val="right"/>
      <w:pPr>
        <w:ind w:left="4320" w:hanging="480"/>
      </w:pPr>
      <w:rPr>
        <w:rFonts w:hint="eastAsia"/>
      </w:rPr>
    </w:lvl>
  </w:abstractNum>
  <w:abstractNum w:abstractNumId="1">
    <w:nsid w:val="3A6A2EB0"/>
    <w:multiLevelType w:val="multilevel"/>
    <w:tmpl w:val="3A6A2EB0"/>
    <w:lvl w:ilvl="0" w:tentative="0">
      <w:start w:val="1"/>
      <w:numFmt w:val="decimal"/>
      <w:suff w:val="nothing"/>
      <w:lvlText w:val="%1、"/>
      <w:lvlJc w:val="left"/>
      <w:pPr>
        <w:ind w:left="360" w:hanging="360"/>
      </w:pPr>
      <w:rPr>
        <w:rFonts w:hint="eastAsia"/>
        <w:color w:val="000000" w:themeColor="text1"/>
        <w14:textFill>
          <w14:solidFill>
            <w14:schemeClr w14:val="tx1"/>
          </w14:solidFill>
        </w14:textFill>
      </w:rPr>
    </w:lvl>
    <w:lvl w:ilvl="1" w:tentative="0">
      <w:start w:val="1"/>
      <w:numFmt w:val="lowerLetter"/>
      <w:lvlText w:val="%2)"/>
      <w:lvlJc w:val="left"/>
      <w:pPr>
        <w:ind w:left="960" w:hanging="480"/>
      </w:pPr>
      <w:rPr>
        <w:rFonts w:hint="eastAsia"/>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lowerLetter"/>
      <w:lvlText w:val="%5)"/>
      <w:lvlJc w:val="left"/>
      <w:pPr>
        <w:ind w:left="2400" w:hanging="480"/>
      </w:pPr>
      <w:rPr>
        <w:rFonts w:hint="eastAsia"/>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lowerLetter"/>
      <w:lvlText w:val="%8)"/>
      <w:lvlJc w:val="left"/>
      <w:pPr>
        <w:ind w:left="3840" w:hanging="480"/>
      </w:pPr>
      <w:rPr>
        <w:rFonts w:hint="eastAsia"/>
      </w:rPr>
    </w:lvl>
    <w:lvl w:ilvl="8" w:tentative="0">
      <w:start w:val="1"/>
      <w:numFmt w:val="lowerRoman"/>
      <w:lvlText w:val="%9."/>
      <w:lvlJc w:val="right"/>
      <w:pPr>
        <w:ind w:left="4320" w:hanging="480"/>
      </w:pPr>
      <w:rPr>
        <w:rFonts w:hint="eastAsia"/>
      </w:rPr>
    </w:lvl>
  </w:abstractNum>
  <w:abstractNum w:abstractNumId="2">
    <w:nsid w:val="3DFC1B2D"/>
    <w:multiLevelType w:val="multilevel"/>
    <w:tmpl w:val="3DFC1B2D"/>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88E20C1"/>
    <w:multiLevelType w:val="multilevel"/>
    <w:tmpl w:val="488E20C1"/>
    <w:lvl w:ilvl="0" w:tentative="0">
      <w:start w:val="1"/>
      <w:numFmt w:val="decimal"/>
      <w:suff w:val="nothing"/>
      <w:lvlText w:val="%1、"/>
      <w:lvlJc w:val="left"/>
      <w:pPr>
        <w:ind w:left="360" w:hanging="360"/>
      </w:pPr>
      <w:rPr>
        <w:rFonts w:hint="eastAsia"/>
        <w:color w:val="000000" w:themeColor="text1"/>
        <w14:textFill>
          <w14:solidFill>
            <w14:schemeClr w14:val="tx1"/>
          </w14:solidFill>
        </w14:textFill>
      </w:rPr>
    </w:lvl>
    <w:lvl w:ilvl="1" w:tentative="0">
      <w:start w:val="1"/>
      <w:numFmt w:val="lowerLetter"/>
      <w:lvlText w:val="%2)"/>
      <w:lvlJc w:val="left"/>
      <w:pPr>
        <w:ind w:left="960" w:hanging="480"/>
      </w:pPr>
      <w:rPr>
        <w:rFonts w:hint="eastAsia"/>
      </w:rPr>
    </w:lvl>
    <w:lvl w:ilvl="2" w:tentative="0">
      <w:start w:val="1"/>
      <w:numFmt w:val="lowerRoman"/>
      <w:lvlText w:val="%3."/>
      <w:lvlJc w:val="right"/>
      <w:pPr>
        <w:ind w:left="1440" w:hanging="480"/>
      </w:pPr>
      <w:rPr>
        <w:rFonts w:hint="eastAsia"/>
      </w:rPr>
    </w:lvl>
    <w:lvl w:ilvl="3" w:tentative="0">
      <w:start w:val="1"/>
      <w:numFmt w:val="decimal"/>
      <w:lvlText w:val="%4."/>
      <w:lvlJc w:val="left"/>
      <w:pPr>
        <w:ind w:left="1920" w:hanging="480"/>
      </w:pPr>
      <w:rPr>
        <w:rFonts w:hint="eastAsia"/>
      </w:rPr>
    </w:lvl>
    <w:lvl w:ilvl="4" w:tentative="0">
      <w:start w:val="1"/>
      <w:numFmt w:val="lowerLetter"/>
      <w:lvlText w:val="%5)"/>
      <w:lvlJc w:val="left"/>
      <w:pPr>
        <w:ind w:left="2400" w:hanging="480"/>
      </w:pPr>
      <w:rPr>
        <w:rFonts w:hint="eastAsia"/>
      </w:rPr>
    </w:lvl>
    <w:lvl w:ilvl="5" w:tentative="0">
      <w:start w:val="1"/>
      <w:numFmt w:val="lowerRoman"/>
      <w:lvlText w:val="%6."/>
      <w:lvlJc w:val="right"/>
      <w:pPr>
        <w:ind w:left="2880" w:hanging="480"/>
      </w:pPr>
      <w:rPr>
        <w:rFonts w:hint="eastAsia"/>
      </w:rPr>
    </w:lvl>
    <w:lvl w:ilvl="6" w:tentative="0">
      <w:start w:val="1"/>
      <w:numFmt w:val="decimal"/>
      <w:lvlText w:val="%7."/>
      <w:lvlJc w:val="left"/>
      <w:pPr>
        <w:ind w:left="3360" w:hanging="480"/>
      </w:pPr>
      <w:rPr>
        <w:rFonts w:hint="eastAsia"/>
      </w:rPr>
    </w:lvl>
    <w:lvl w:ilvl="7" w:tentative="0">
      <w:start w:val="1"/>
      <w:numFmt w:val="lowerLetter"/>
      <w:lvlText w:val="%8)"/>
      <w:lvlJc w:val="left"/>
      <w:pPr>
        <w:ind w:left="3840" w:hanging="480"/>
      </w:pPr>
      <w:rPr>
        <w:rFonts w:hint="eastAsia"/>
      </w:rPr>
    </w:lvl>
    <w:lvl w:ilvl="8" w:tentative="0">
      <w:start w:val="1"/>
      <w:numFmt w:val="lowerRoman"/>
      <w:lvlText w:val="%9."/>
      <w:lvlJc w:val="right"/>
      <w:pPr>
        <w:ind w:left="4320" w:hanging="480"/>
      </w:pPr>
      <w:rPr>
        <w:rFonts w:hint="eastAsia"/>
      </w:rPr>
    </w:lvl>
  </w:abstractNum>
  <w:abstractNum w:abstractNumId="4">
    <w:nsid w:val="7AC06A37"/>
    <w:multiLevelType w:val="multilevel"/>
    <w:tmpl w:val="7AC06A37"/>
    <w:lvl w:ilvl="0" w:tentative="0">
      <w:start w:val="1"/>
      <w:numFmt w:val="chineseCountingThousand"/>
      <w:pStyle w:val="2"/>
      <w:suff w:val="nothing"/>
      <w:lvlText w:val="%1、"/>
      <w:lvlJc w:val="left"/>
      <w:pPr>
        <w:ind w:left="0" w:firstLine="0"/>
      </w:pPr>
      <w:rPr>
        <w:rFonts w:hint="default" w:ascii="Times New Roman" w:hAnsi="Times New Roman" w:eastAsia="宋体"/>
        <w:b/>
        <w:i w:val="0"/>
        <w:sz w:val="32"/>
      </w:rPr>
    </w:lvl>
    <w:lvl w:ilvl="1" w:tentative="0">
      <w:start w:val="1"/>
      <w:numFmt w:val="decimal"/>
      <w:pStyle w:val="3"/>
      <w:isLgl/>
      <w:suff w:val="space"/>
      <w:lvlText w:val="%1.%2"/>
      <w:lvlJc w:val="left"/>
      <w:pPr>
        <w:ind w:left="0" w:firstLine="0"/>
      </w:pPr>
      <w:rPr>
        <w:rFonts w:hint="default" w:ascii="Times New Roman" w:hAnsi="Times New Roman" w:eastAsia="宋体"/>
        <w:b/>
        <w:i w:val="0"/>
        <w:sz w:val="36"/>
      </w:rPr>
    </w:lvl>
    <w:lvl w:ilvl="2" w:tentative="0">
      <w:start w:val="1"/>
      <w:numFmt w:val="decimal"/>
      <w:pStyle w:val="4"/>
      <w:isLgl/>
      <w:suff w:val="space"/>
      <w:lvlText w:val="%1.%2.%3"/>
      <w:lvlJc w:val="left"/>
      <w:pPr>
        <w:ind w:left="0" w:firstLine="0"/>
      </w:pPr>
      <w:rPr>
        <w:rFonts w:hint="default" w:ascii="Times New Roman" w:hAnsi="Times New Roman" w:eastAsia="宋体"/>
        <w:b/>
        <w:i w:val="0"/>
        <w:sz w:val="32"/>
      </w:rPr>
    </w:lvl>
    <w:lvl w:ilvl="3" w:tentative="0">
      <w:start w:val="1"/>
      <w:numFmt w:val="decimal"/>
      <w:pStyle w:val="5"/>
      <w:isLgl/>
      <w:suff w:val="space"/>
      <w:lvlText w:val="%1.%2.%3.%4"/>
      <w:lvlJc w:val="left"/>
      <w:pPr>
        <w:ind w:left="0" w:firstLine="0"/>
      </w:pPr>
      <w:rPr>
        <w:rFonts w:hint="default" w:ascii="Times New Roman" w:hAnsi="Times New Roman" w:eastAsia="宋体"/>
        <w:b/>
        <w:i w:val="0"/>
        <w:sz w:val="30"/>
      </w:rPr>
    </w:lvl>
    <w:lvl w:ilvl="4" w:tentative="0">
      <w:start w:val="1"/>
      <w:numFmt w:val="decimal"/>
      <w:pStyle w:val="6"/>
      <w:isLgl/>
      <w:suff w:val="space"/>
      <w:lvlText w:val="%1.%2.%3.%4.%5"/>
      <w:lvlJc w:val="left"/>
      <w:pPr>
        <w:ind w:left="0" w:firstLine="0"/>
      </w:pPr>
      <w:rPr>
        <w:rFonts w:hint="default" w:ascii="Times New Roman" w:hAnsi="Times New Roman" w:eastAsia="宋体"/>
        <w:b/>
        <w:i w:val="0"/>
        <w:sz w:val="28"/>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ZjVkNDYzOTE4ZjYxNmM0YmNiNjkwZWM5NmU0ZTMifQ=="/>
  </w:docVars>
  <w:rsids>
    <w:rsidRoot w:val="00AA23D0"/>
    <w:rsid w:val="0000225F"/>
    <w:rsid w:val="00003A0B"/>
    <w:rsid w:val="00017F39"/>
    <w:rsid w:val="0002415A"/>
    <w:rsid w:val="00031B3D"/>
    <w:rsid w:val="0003696D"/>
    <w:rsid w:val="000370A0"/>
    <w:rsid w:val="00040D89"/>
    <w:rsid w:val="0005007D"/>
    <w:rsid w:val="00076813"/>
    <w:rsid w:val="00090181"/>
    <w:rsid w:val="000A168D"/>
    <w:rsid w:val="000D04F8"/>
    <w:rsid w:val="000D3485"/>
    <w:rsid w:val="000D7533"/>
    <w:rsid w:val="000F4840"/>
    <w:rsid w:val="00107D85"/>
    <w:rsid w:val="00107F32"/>
    <w:rsid w:val="00122BE1"/>
    <w:rsid w:val="00123826"/>
    <w:rsid w:val="001306F8"/>
    <w:rsid w:val="00155339"/>
    <w:rsid w:val="001619BA"/>
    <w:rsid w:val="00162D93"/>
    <w:rsid w:val="001652D9"/>
    <w:rsid w:val="00174D80"/>
    <w:rsid w:val="00176419"/>
    <w:rsid w:val="001765F1"/>
    <w:rsid w:val="0018115D"/>
    <w:rsid w:val="00183BAF"/>
    <w:rsid w:val="001855D3"/>
    <w:rsid w:val="00195020"/>
    <w:rsid w:val="001A2E3C"/>
    <w:rsid w:val="001C3FD9"/>
    <w:rsid w:val="001C4936"/>
    <w:rsid w:val="001D22AA"/>
    <w:rsid w:val="001D3C80"/>
    <w:rsid w:val="001D5E24"/>
    <w:rsid w:val="001E363B"/>
    <w:rsid w:val="001F0BA4"/>
    <w:rsid w:val="001F11F5"/>
    <w:rsid w:val="001F1C53"/>
    <w:rsid w:val="001F2452"/>
    <w:rsid w:val="00201F7D"/>
    <w:rsid w:val="00210830"/>
    <w:rsid w:val="0021693F"/>
    <w:rsid w:val="0022176A"/>
    <w:rsid w:val="00255449"/>
    <w:rsid w:val="00265415"/>
    <w:rsid w:val="00267397"/>
    <w:rsid w:val="002B3795"/>
    <w:rsid w:val="002B70A9"/>
    <w:rsid w:val="002C2508"/>
    <w:rsid w:val="002C3C52"/>
    <w:rsid w:val="002C406B"/>
    <w:rsid w:val="002C4BEB"/>
    <w:rsid w:val="002C6AD5"/>
    <w:rsid w:val="002D2724"/>
    <w:rsid w:val="002F178B"/>
    <w:rsid w:val="002F4722"/>
    <w:rsid w:val="00303894"/>
    <w:rsid w:val="00311DEE"/>
    <w:rsid w:val="00312337"/>
    <w:rsid w:val="003134C9"/>
    <w:rsid w:val="0032304E"/>
    <w:rsid w:val="003244F0"/>
    <w:rsid w:val="0034112A"/>
    <w:rsid w:val="003438B0"/>
    <w:rsid w:val="0039201D"/>
    <w:rsid w:val="003927B2"/>
    <w:rsid w:val="003929D6"/>
    <w:rsid w:val="003B49DF"/>
    <w:rsid w:val="003B79BB"/>
    <w:rsid w:val="003C12BD"/>
    <w:rsid w:val="003C6CCD"/>
    <w:rsid w:val="003E2539"/>
    <w:rsid w:val="003F24D4"/>
    <w:rsid w:val="003F3456"/>
    <w:rsid w:val="00402E85"/>
    <w:rsid w:val="00403A27"/>
    <w:rsid w:val="0041042A"/>
    <w:rsid w:val="00411F1A"/>
    <w:rsid w:val="0041549D"/>
    <w:rsid w:val="00415874"/>
    <w:rsid w:val="00422155"/>
    <w:rsid w:val="0042355F"/>
    <w:rsid w:val="0044009B"/>
    <w:rsid w:val="00441A61"/>
    <w:rsid w:val="00450425"/>
    <w:rsid w:val="004539BB"/>
    <w:rsid w:val="00453BAD"/>
    <w:rsid w:val="0046046C"/>
    <w:rsid w:val="00471791"/>
    <w:rsid w:val="0047354A"/>
    <w:rsid w:val="00480049"/>
    <w:rsid w:val="004934A7"/>
    <w:rsid w:val="004A0094"/>
    <w:rsid w:val="004A49AF"/>
    <w:rsid w:val="004A4CB9"/>
    <w:rsid w:val="004A7A00"/>
    <w:rsid w:val="004B2991"/>
    <w:rsid w:val="004B6BED"/>
    <w:rsid w:val="004E67F5"/>
    <w:rsid w:val="004F5301"/>
    <w:rsid w:val="004F56EB"/>
    <w:rsid w:val="00504CD2"/>
    <w:rsid w:val="00505963"/>
    <w:rsid w:val="00507D92"/>
    <w:rsid w:val="00513819"/>
    <w:rsid w:val="00524F3E"/>
    <w:rsid w:val="0052502F"/>
    <w:rsid w:val="00525BC8"/>
    <w:rsid w:val="00526189"/>
    <w:rsid w:val="005303FD"/>
    <w:rsid w:val="00540FA5"/>
    <w:rsid w:val="0054219C"/>
    <w:rsid w:val="0054450B"/>
    <w:rsid w:val="00556D0C"/>
    <w:rsid w:val="00556D53"/>
    <w:rsid w:val="00570768"/>
    <w:rsid w:val="00585D9B"/>
    <w:rsid w:val="00594731"/>
    <w:rsid w:val="005A6D7E"/>
    <w:rsid w:val="005B2875"/>
    <w:rsid w:val="005B5646"/>
    <w:rsid w:val="005D3AC5"/>
    <w:rsid w:val="005D3BFE"/>
    <w:rsid w:val="005E617A"/>
    <w:rsid w:val="005F2C23"/>
    <w:rsid w:val="006031FB"/>
    <w:rsid w:val="00613924"/>
    <w:rsid w:val="00613B0A"/>
    <w:rsid w:val="00616F85"/>
    <w:rsid w:val="006176E2"/>
    <w:rsid w:val="00617D08"/>
    <w:rsid w:val="0063260E"/>
    <w:rsid w:val="00662FDA"/>
    <w:rsid w:val="00665D40"/>
    <w:rsid w:val="00687940"/>
    <w:rsid w:val="006A47CD"/>
    <w:rsid w:val="006B01F0"/>
    <w:rsid w:val="006B6EA7"/>
    <w:rsid w:val="006D15F3"/>
    <w:rsid w:val="006D48E6"/>
    <w:rsid w:val="006E7895"/>
    <w:rsid w:val="0070736C"/>
    <w:rsid w:val="00711D0E"/>
    <w:rsid w:val="00712067"/>
    <w:rsid w:val="00722ACA"/>
    <w:rsid w:val="00725549"/>
    <w:rsid w:val="00731E43"/>
    <w:rsid w:val="007359F6"/>
    <w:rsid w:val="0075055A"/>
    <w:rsid w:val="0075103A"/>
    <w:rsid w:val="00753E8F"/>
    <w:rsid w:val="00762892"/>
    <w:rsid w:val="007644A3"/>
    <w:rsid w:val="0077550A"/>
    <w:rsid w:val="00775F38"/>
    <w:rsid w:val="00781E89"/>
    <w:rsid w:val="00786EAD"/>
    <w:rsid w:val="00793A53"/>
    <w:rsid w:val="007A2905"/>
    <w:rsid w:val="007A2F08"/>
    <w:rsid w:val="007A563E"/>
    <w:rsid w:val="007B4532"/>
    <w:rsid w:val="007C0A2B"/>
    <w:rsid w:val="007C3AE5"/>
    <w:rsid w:val="007C5607"/>
    <w:rsid w:val="007E5F2B"/>
    <w:rsid w:val="007E6CEC"/>
    <w:rsid w:val="007F0EDB"/>
    <w:rsid w:val="007F7525"/>
    <w:rsid w:val="00816C0A"/>
    <w:rsid w:val="008271E1"/>
    <w:rsid w:val="0083132E"/>
    <w:rsid w:val="00832831"/>
    <w:rsid w:val="008351C2"/>
    <w:rsid w:val="00841570"/>
    <w:rsid w:val="00851D92"/>
    <w:rsid w:val="008554C4"/>
    <w:rsid w:val="0086519C"/>
    <w:rsid w:val="00865D19"/>
    <w:rsid w:val="00871AB4"/>
    <w:rsid w:val="00872319"/>
    <w:rsid w:val="00881DE9"/>
    <w:rsid w:val="008A272E"/>
    <w:rsid w:val="008C677E"/>
    <w:rsid w:val="008D46FB"/>
    <w:rsid w:val="009004D9"/>
    <w:rsid w:val="00905917"/>
    <w:rsid w:val="00911E84"/>
    <w:rsid w:val="0091718E"/>
    <w:rsid w:val="00945388"/>
    <w:rsid w:val="00950F40"/>
    <w:rsid w:val="0095786B"/>
    <w:rsid w:val="009634F7"/>
    <w:rsid w:val="00975944"/>
    <w:rsid w:val="00981850"/>
    <w:rsid w:val="009845D6"/>
    <w:rsid w:val="009940C5"/>
    <w:rsid w:val="0099517E"/>
    <w:rsid w:val="009A04EA"/>
    <w:rsid w:val="009A266F"/>
    <w:rsid w:val="009A78B9"/>
    <w:rsid w:val="009B3520"/>
    <w:rsid w:val="009B4D84"/>
    <w:rsid w:val="009B5C98"/>
    <w:rsid w:val="009D6A38"/>
    <w:rsid w:val="009E1D1D"/>
    <w:rsid w:val="009F2F8C"/>
    <w:rsid w:val="009F40BA"/>
    <w:rsid w:val="00A0507B"/>
    <w:rsid w:val="00A05939"/>
    <w:rsid w:val="00A07DB1"/>
    <w:rsid w:val="00A1011D"/>
    <w:rsid w:val="00A14FD7"/>
    <w:rsid w:val="00A16097"/>
    <w:rsid w:val="00A2517E"/>
    <w:rsid w:val="00A255BE"/>
    <w:rsid w:val="00A2613B"/>
    <w:rsid w:val="00A32FCF"/>
    <w:rsid w:val="00A578A4"/>
    <w:rsid w:val="00A57941"/>
    <w:rsid w:val="00A610EC"/>
    <w:rsid w:val="00A62756"/>
    <w:rsid w:val="00A74608"/>
    <w:rsid w:val="00A855DF"/>
    <w:rsid w:val="00AA0B83"/>
    <w:rsid w:val="00AA23D0"/>
    <w:rsid w:val="00AC6D7E"/>
    <w:rsid w:val="00AD3F8D"/>
    <w:rsid w:val="00AE3412"/>
    <w:rsid w:val="00AE4537"/>
    <w:rsid w:val="00AE5C41"/>
    <w:rsid w:val="00B11E17"/>
    <w:rsid w:val="00B12411"/>
    <w:rsid w:val="00B1777D"/>
    <w:rsid w:val="00B30167"/>
    <w:rsid w:val="00B33E3F"/>
    <w:rsid w:val="00B361A9"/>
    <w:rsid w:val="00B47A4C"/>
    <w:rsid w:val="00B51180"/>
    <w:rsid w:val="00B52DEE"/>
    <w:rsid w:val="00B57787"/>
    <w:rsid w:val="00B57B1E"/>
    <w:rsid w:val="00B6204C"/>
    <w:rsid w:val="00B667EE"/>
    <w:rsid w:val="00B7520D"/>
    <w:rsid w:val="00B75246"/>
    <w:rsid w:val="00B77AF1"/>
    <w:rsid w:val="00B77EC0"/>
    <w:rsid w:val="00BA2235"/>
    <w:rsid w:val="00BA7429"/>
    <w:rsid w:val="00BB02FD"/>
    <w:rsid w:val="00BD1934"/>
    <w:rsid w:val="00BE400A"/>
    <w:rsid w:val="00BF0D27"/>
    <w:rsid w:val="00C067B5"/>
    <w:rsid w:val="00C15885"/>
    <w:rsid w:val="00C17597"/>
    <w:rsid w:val="00C17D51"/>
    <w:rsid w:val="00C20A25"/>
    <w:rsid w:val="00C214D3"/>
    <w:rsid w:val="00C218FC"/>
    <w:rsid w:val="00C26DE2"/>
    <w:rsid w:val="00C327EE"/>
    <w:rsid w:val="00C4131A"/>
    <w:rsid w:val="00C621E7"/>
    <w:rsid w:val="00C638F2"/>
    <w:rsid w:val="00C649EF"/>
    <w:rsid w:val="00C6661B"/>
    <w:rsid w:val="00C67F55"/>
    <w:rsid w:val="00CA1081"/>
    <w:rsid w:val="00CA4746"/>
    <w:rsid w:val="00CB1DEE"/>
    <w:rsid w:val="00CB1F0E"/>
    <w:rsid w:val="00CB4066"/>
    <w:rsid w:val="00CC53C9"/>
    <w:rsid w:val="00CC6769"/>
    <w:rsid w:val="00CC6BAA"/>
    <w:rsid w:val="00CD23B5"/>
    <w:rsid w:val="00CD2A8A"/>
    <w:rsid w:val="00CD7FAE"/>
    <w:rsid w:val="00CE1665"/>
    <w:rsid w:val="00CE51A1"/>
    <w:rsid w:val="00CE724E"/>
    <w:rsid w:val="00CE737C"/>
    <w:rsid w:val="00CF0663"/>
    <w:rsid w:val="00D06202"/>
    <w:rsid w:val="00D06A67"/>
    <w:rsid w:val="00D12D54"/>
    <w:rsid w:val="00D23CCF"/>
    <w:rsid w:val="00D273BC"/>
    <w:rsid w:val="00D275B5"/>
    <w:rsid w:val="00D36660"/>
    <w:rsid w:val="00D50490"/>
    <w:rsid w:val="00D536CE"/>
    <w:rsid w:val="00D60DB4"/>
    <w:rsid w:val="00D61BD4"/>
    <w:rsid w:val="00D6206D"/>
    <w:rsid w:val="00D70FED"/>
    <w:rsid w:val="00D71D66"/>
    <w:rsid w:val="00D758DB"/>
    <w:rsid w:val="00D77D77"/>
    <w:rsid w:val="00D82732"/>
    <w:rsid w:val="00DA3B39"/>
    <w:rsid w:val="00DE1042"/>
    <w:rsid w:val="00DE5B4D"/>
    <w:rsid w:val="00DE7EB5"/>
    <w:rsid w:val="00DF0790"/>
    <w:rsid w:val="00E01065"/>
    <w:rsid w:val="00E02E5E"/>
    <w:rsid w:val="00E17331"/>
    <w:rsid w:val="00E2050D"/>
    <w:rsid w:val="00E2422B"/>
    <w:rsid w:val="00E3051F"/>
    <w:rsid w:val="00E41EE4"/>
    <w:rsid w:val="00E51B9E"/>
    <w:rsid w:val="00E55965"/>
    <w:rsid w:val="00E70FF6"/>
    <w:rsid w:val="00E77BBF"/>
    <w:rsid w:val="00E8094C"/>
    <w:rsid w:val="00E861FB"/>
    <w:rsid w:val="00EA5EED"/>
    <w:rsid w:val="00EB7DB5"/>
    <w:rsid w:val="00EC0F7E"/>
    <w:rsid w:val="00EC5AA3"/>
    <w:rsid w:val="00ED1387"/>
    <w:rsid w:val="00ED177B"/>
    <w:rsid w:val="00ED49F7"/>
    <w:rsid w:val="00EE1EF1"/>
    <w:rsid w:val="00EE522B"/>
    <w:rsid w:val="00EE717C"/>
    <w:rsid w:val="00EF3842"/>
    <w:rsid w:val="00EF465A"/>
    <w:rsid w:val="00EF63FB"/>
    <w:rsid w:val="00F0645F"/>
    <w:rsid w:val="00F125A1"/>
    <w:rsid w:val="00F23464"/>
    <w:rsid w:val="00F272C4"/>
    <w:rsid w:val="00F5590D"/>
    <w:rsid w:val="00F638C2"/>
    <w:rsid w:val="00F81D5F"/>
    <w:rsid w:val="00F82DB5"/>
    <w:rsid w:val="00F8400D"/>
    <w:rsid w:val="00FA5EF3"/>
    <w:rsid w:val="00FA74C1"/>
    <w:rsid w:val="00FC3B6C"/>
    <w:rsid w:val="00FD05A9"/>
    <w:rsid w:val="00FD0E2C"/>
    <w:rsid w:val="00FD4280"/>
    <w:rsid w:val="00FD44ED"/>
    <w:rsid w:val="00FD6212"/>
    <w:rsid w:val="00FF5FEE"/>
    <w:rsid w:val="1BBB0F85"/>
    <w:rsid w:val="7093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2">
    <w:name w:val="heading 1"/>
    <w:basedOn w:val="1"/>
    <w:next w:val="1"/>
    <w:link w:val="18"/>
    <w:qFormat/>
    <w:uiPriority w:val="1"/>
    <w:pPr>
      <w:numPr>
        <w:ilvl w:val="0"/>
        <w:numId w:val="1"/>
      </w:numPr>
      <w:ind w:firstLineChars="0"/>
      <w:outlineLvl w:val="0"/>
    </w:pPr>
    <w:rPr>
      <w:b/>
      <w:bCs/>
      <w:kern w:val="44"/>
      <w:sz w:val="32"/>
      <w:szCs w:val="44"/>
    </w:rPr>
  </w:style>
  <w:style w:type="paragraph" w:styleId="3">
    <w:name w:val="heading 2"/>
    <w:basedOn w:val="2"/>
    <w:next w:val="1"/>
    <w:link w:val="19"/>
    <w:qFormat/>
    <w:uiPriority w:val="1"/>
    <w:pPr>
      <w:numPr>
        <w:ilvl w:val="1"/>
      </w:numPr>
      <w:outlineLvl w:val="1"/>
    </w:pPr>
    <w:rPr>
      <w:rFonts w:cstheme="majorBidi"/>
      <w:bCs w:val="0"/>
      <w:sz w:val="36"/>
      <w:szCs w:val="32"/>
    </w:rPr>
  </w:style>
  <w:style w:type="paragraph" w:styleId="4">
    <w:name w:val="heading 3"/>
    <w:basedOn w:val="3"/>
    <w:next w:val="1"/>
    <w:link w:val="20"/>
    <w:qFormat/>
    <w:uiPriority w:val="1"/>
    <w:pPr>
      <w:numPr>
        <w:ilvl w:val="2"/>
      </w:numPr>
      <w:outlineLvl w:val="2"/>
    </w:pPr>
    <w:rPr>
      <w:bCs/>
      <w:sz w:val="32"/>
    </w:rPr>
  </w:style>
  <w:style w:type="paragraph" w:styleId="5">
    <w:name w:val="heading 4"/>
    <w:basedOn w:val="2"/>
    <w:next w:val="1"/>
    <w:link w:val="21"/>
    <w:qFormat/>
    <w:uiPriority w:val="1"/>
    <w:pPr>
      <w:numPr>
        <w:ilvl w:val="3"/>
      </w:numPr>
      <w:outlineLvl w:val="3"/>
    </w:pPr>
    <w:rPr>
      <w:rFonts w:cstheme="majorBidi"/>
      <w:bCs w:val="0"/>
      <w:sz w:val="30"/>
      <w:szCs w:val="28"/>
    </w:rPr>
  </w:style>
  <w:style w:type="paragraph" w:styleId="6">
    <w:name w:val="heading 5"/>
    <w:basedOn w:val="2"/>
    <w:next w:val="1"/>
    <w:link w:val="22"/>
    <w:qFormat/>
    <w:uiPriority w:val="1"/>
    <w:pPr>
      <w:numPr>
        <w:ilvl w:val="4"/>
      </w:numPr>
      <w:outlineLvl w:val="4"/>
    </w:pPr>
    <w:rPr>
      <w:bCs w:val="0"/>
      <w:sz w:val="28"/>
      <w:szCs w:val="28"/>
    </w:rPr>
  </w:style>
  <w:style w:type="paragraph" w:styleId="7">
    <w:name w:val="heading 6"/>
    <w:basedOn w:val="6"/>
    <w:next w:val="1"/>
    <w:link w:val="23"/>
    <w:semiHidden/>
    <w:unhideWhenUsed/>
    <w:qFormat/>
    <w:uiPriority w:val="9"/>
    <w:pPr>
      <w:numPr>
        <w:ilvl w:val="0"/>
        <w:numId w:val="0"/>
      </w:numPr>
      <w:spacing w:before="0" w:beforeLines="0"/>
      <w:outlineLvl w:val="5"/>
    </w:pPr>
    <w:rPr>
      <w:rFonts w:cstheme="majorBidi"/>
      <w:bCs/>
      <w:sz w:val="24"/>
      <w:szCs w:val="24"/>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35"/>
    <w:pPr>
      <w:ind w:firstLine="0" w:firstLineChars="0"/>
      <w:jc w:val="center"/>
    </w:pPr>
    <w:rPr>
      <w:rFonts w:cstheme="majorBidi"/>
      <w:szCs w:val="20"/>
    </w:rPr>
  </w:style>
  <w:style w:type="paragraph" w:styleId="9">
    <w:name w:val="toc 3"/>
    <w:basedOn w:val="10"/>
    <w:next w:val="1"/>
    <w:unhideWhenUsed/>
    <w:qFormat/>
    <w:uiPriority w:val="39"/>
    <w:pPr>
      <w:tabs>
        <w:tab w:val="right" w:leader="dot" w:pos="8296"/>
      </w:tabs>
      <w:ind w:left="300" w:leftChars="300"/>
    </w:pPr>
  </w:style>
  <w:style w:type="paragraph" w:styleId="10">
    <w:name w:val="toc 2"/>
    <w:basedOn w:val="11"/>
    <w:next w:val="1"/>
    <w:unhideWhenUsed/>
    <w:qFormat/>
    <w:uiPriority w:val="39"/>
    <w:pPr>
      <w:tabs>
        <w:tab w:val="right" w:leader="dot" w:pos="8296"/>
      </w:tabs>
      <w:ind w:left="150" w:leftChars="150"/>
    </w:pPr>
    <w:rPr>
      <w:b w:val="0"/>
      <w:sz w:val="24"/>
    </w:rPr>
  </w:style>
  <w:style w:type="paragraph" w:styleId="11">
    <w:name w:val="toc 1"/>
    <w:basedOn w:val="1"/>
    <w:next w:val="1"/>
    <w:unhideWhenUsed/>
    <w:qFormat/>
    <w:uiPriority w:val="39"/>
    <w:pPr>
      <w:tabs>
        <w:tab w:val="right" w:leader="dot" w:pos="8296"/>
      </w:tabs>
      <w:spacing w:before="0" w:beforeLines="0"/>
      <w:ind w:firstLine="0" w:firstLineChars="0"/>
      <w:jc w:val="left"/>
    </w:pPr>
    <w:rPr>
      <w:b/>
      <w:sz w:val="28"/>
      <w:szCs w:val="22"/>
    </w:rPr>
  </w:style>
  <w:style w:type="paragraph" w:styleId="12">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4"/>
    <w:basedOn w:val="9"/>
    <w:next w:val="1"/>
    <w:unhideWhenUsed/>
    <w:qFormat/>
    <w:uiPriority w:val="39"/>
    <w:pPr>
      <w:ind w:left="450" w:leftChars="450"/>
    </w:pPr>
  </w:style>
  <w:style w:type="paragraph" w:styleId="17">
    <w:name w:val="No Spacing"/>
    <w:basedOn w:val="1"/>
    <w:qFormat/>
    <w:uiPriority w:val="0"/>
    <w:pPr>
      <w:spacing w:before="0" w:beforeLines="0" w:line="240" w:lineRule="auto"/>
      <w:ind w:firstLine="0" w:firstLineChars="0"/>
    </w:pPr>
  </w:style>
  <w:style w:type="character" w:customStyle="1" w:styleId="18">
    <w:name w:val="标题 1 字符"/>
    <w:basedOn w:val="16"/>
    <w:link w:val="2"/>
    <w:qFormat/>
    <w:uiPriority w:val="1"/>
    <w:rPr>
      <w:rFonts w:ascii="Times New Roman" w:hAnsi="Times New Roman" w:eastAsia="宋体"/>
      <w:b/>
      <w:bCs/>
      <w:kern w:val="44"/>
      <w:sz w:val="32"/>
      <w:szCs w:val="44"/>
    </w:rPr>
  </w:style>
  <w:style w:type="character" w:customStyle="1" w:styleId="19">
    <w:name w:val="标题 2 字符"/>
    <w:basedOn w:val="16"/>
    <w:link w:val="3"/>
    <w:qFormat/>
    <w:uiPriority w:val="1"/>
    <w:rPr>
      <w:rFonts w:ascii="Times New Roman" w:hAnsi="Times New Roman" w:eastAsia="宋体" w:cstheme="majorBidi"/>
      <w:b/>
      <w:kern w:val="44"/>
      <w:sz w:val="36"/>
      <w:szCs w:val="32"/>
    </w:rPr>
  </w:style>
  <w:style w:type="character" w:customStyle="1" w:styleId="20">
    <w:name w:val="标题 3 字符"/>
    <w:basedOn w:val="16"/>
    <w:link w:val="4"/>
    <w:qFormat/>
    <w:uiPriority w:val="1"/>
    <w:rPr>
      <w:rFonts w:ascii="Times New Roman" w:hAnsi="Times New Roman" w:eastAsia="宋体" w:cstheme="majorBidi"/>
      <w:b/>
      <w:bCs/>
      <w:kern w:val="44"/>
      <w:sz w:val="32"/>
      <w:szCs w:val="32"/>
    </w:rPr>
  </w:style>
  <w:style w:type="character" w:customStyle="1" w:styleId="21">
    <w:name w:val="标题 4 字符"/>
    <w:basedOn w:val="16"/>
    <w:link w:val="5"/>
    <w:qFormat/>
    <w:uiPriority w:val="1"/>
    <w:rPr>
      <w:rFonts w:ascii="Times New Roman" w:hAnsi="Times New Roman" w:eastAsia="宋体" w:cstheme="majorBidi"/>
      <w:b/>
      <w:kern w:val="44"/>
      <w:sz w:val="30"/>
      <w:szCs w:val="28"/>
    </w:rPr>
  </w:style>
  <w:style w:type="character" w:customStyle="1" w:styleId="22">
    <w:name w:val="标题 5 字符"/>
    <w:basedOn w:val="16"/>
    <w:link w:val="6"/>
    <w:qFormat/>
    <w:uiPriority w:val="1"/>
    <w:rPr>
      <w:rFonts w:ascii="Times New Roman" w:hAnsi="Times New Roman" w:eastAsia="宋体"/>
      <w:b/>
      <w:kern w:val="44"/>
      <w:sz w:val="28"/>
      <w:szCs w:val="28"/>
    </w:rPr>
  </w:style>
  <w:style w:type="character" w:customStyle="1" w:styleId="23">
    <w:name w:val="标题 6 字符"/>
    <w:basedOn w:val="16"/>
    <w:link w:val="7"/>
    <w:semiHidden/>
    <w:qFormat/>
    <w:uiPriority w:val="9"/>
    <w:rPr>
      <w:rFonts w:ascii="Times New Roman" w:hAnsi="Times New Roman" w:eastAsia="宋体" w:cstheme="majorBidi"/>
      <w:b/>
      <w:bCs/>
      <w:kern w:val="44"/>
      <w:sz w:val="24"/>
      <w:szCs w:val="24"/>
    </w:rPr>
  </w:style>
  <w:style w:type="paragraph" w:customStyle="1" w:styleId="24">
    <w:name w:val="正文1"/>
    <w:basedOn w:val="1"/>
    <w:qFormat/>
    <w:uiPriority w:val="0"/>
    <w:pPr>
      <w:spacing w:before="0" w:beforeLines="0"/>
      <w:ind w:firstLine="0" w:firstLineChars="0"/>
    </w:pPr>
  </w:style>
  <w:style w:type="character" w:customStyle="1" w:styleId="25">
    <w:name w:val="页眉 字符"/>
    <w:basedOn w:val="16"/>
    <w:link w:val="13"/>
    <w:qFormat/>
    <w:uiPriority w:val="99"/>
    <w:rPr>
      <w:rFonts w:ascii="Times New Roman" w:hAnsi="Times New Roman" w:eastAsia="宋体"/>
      <w:sz w:val="18"/>
      <w:szCs w:val="18"/>
    </w:rPr>
  </w:style>
  <w:style w:type="character" w:customStyle="1" w:styleId="26">
    <w:name w:val="页脚 字符"/>
    <w:basedOn w:val="16"/>
    <w:link w:val="12"/>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1838</Words>
  <Characters>1999</Characters>
  <Lines>14</Lines>
  <Paragraphs>4</Paragraphs>
  <TotalTime>21</TotalTime>
  <ScaleCrop>false</ScaleCrop>
  <LinksUpToDate>false</LinksUpToDate>
  <CharactersWithSpaces>2002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2022-10-11T09:13:00Z</dcterms:created>
  <dc:creator>Admin</dc:creator>
  <cp:lastModifiedBy>James</cp:lastModifiedBy>
  <dcterms:modified xsi:type="dcterms:W3CDTF">2022-10-13T08:11:32Z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7E75A8112B3F46F9ADA0AE410B366FA2</vt:lpwstr>
  </property>
</Properties>
</file>