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highlight w:val="none"/>
        </w:rPr>
      </w:pPr>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超声诊断床招标要</w:t>
      </w:r>
      <w:r>
        <w:rPr>
          <w:rFonts w:hint="eastAsia" w:ascii="宋体" w:hAnsi="宋体" w:cs="宋体"/>
          <w:b/>
          <w:sz w:val="28"/>
          <w:szCs w:val="28"/>
          <w:highlight w:val="none"/>
        </w:rPr>
        <w:t>求</w:t>
      </w:r>
    </w:p>
    <w:p>
      <w:pPr>
        <w:rPr>
          <w:rFonts w:ascii="宋体" w:hAnsi="宋体"/>
          <w:b/>
          <w:sz w:val="24"/>
          <w:highlight w:val="none"/>
        </w:rPr>
      </w:pPr>
      <w:r>
        <w:rPr>
          <w:rFonts w:hint="eastAsia" w:ascii="宋体" w:hAnsi="宋体"/>
          <w:b/>
          <w:sz w:val="24"/>
          <w:highlight w:val="none"/>
        </w:rPr>
        <w:t>一、投标人资质要求：</w:t>
      </w:r>
    </w:p>
    <w:p>
      <w:pPr>
        <w:ind w:firstLine="240" w:firstLineChars="100"/>
        <w:rPr>
          <w:rFonts w:ascii="宋体"/>
          <w:sz w:val="24"/>
          <w:highlight w:val="none"/>
        </w:rPr>
      </w:pPr>
      <w:r>
        <w:rPr>
          <w:rFonts w:ascii="宋体" w:hAnsi="宋体"/>
          <w:sz w:val="24"/>
          <w:highlight w:val="none"/>
        </w:rPr>
        <w:t>1</w:t>
      </w:r>
      <w:r>
        <w:rPr>
          <w:rFonts w:hint="eastAsia" w:ascii="宋体" w:hAnsi="宋体"/>
          <w:sz w:val="24"/>
          <w:highlight w:val="none"/>
        </w:rPr>
        <w:t>、投标人必须具有独立法人资格；</w:t>
      </w:r>
    </w:p>
    <w:p>
      <w:pPr>
        <w:ind w:firstLine="240" w:firstLineChars="100"/>
        <w:rPr>
          <w:rFonts w:ascii="宋体" w:hAnsi="宋体"/>
          <w:sz w:val="24"/>
        </w:rPr>
      </w:pPr>
      <w:r>
        <w:rPr>
          <w:rFonts w:hint="eastAsia" w:ascii="宋体" w:hAnsi="宋体"/>
          <w:sz w:val="24"/>
          <w:highlight w:val="none"/>
        </w:rPr>
        <w:t>2、若所投产品</w:t>
      </w:r>
      <w:r>
        <w:rPr>
          <w:rFonts w:ascii="宋体" w:hAnsi="宋体" w:eastAsia="宋体" w:cs="宋体"/>
          <w:sz w:val="24"/>
          <w:szCs w:val="24"/>
        </w:rPr>
        <w:t>超声诊断床</w:t>
      </w:r>
      <w:r>
        <w:rPr>
          <w:rFonts w:hint="eastAsia" w:ascii="宋体" w:hAnsi="宋体"/>
          <w:sz w:val="24"/>
          <w:highlight w:val="none"/>
        </w:rPr>
        <w:t>为进口产品，则投标人必须为提供所投产品</w:t>
      </w:r>
      <w:r>
        <w:rPr>
          <w:rFonts w:ascii="宋体" w:hAnsi="宋体" w:eastAsia="宋体" w:cs="宋体"/>
          <w:sz w:val="24"/>
          <w:szCs w:val="24"/>
        </w:rPr>
        <w:t>超声诊断床</w:t>
      </w:r>
      <w:r>
        <w:rPr>
          <w:rFonts w:hint="eastAsia" w:ascii="宋体" w:hAnsi="宋体"/>
          <w:sz w:val="24"/>
          <w:highlight w:val="none"/>
        </w:rPr>
        <w:t>的制造商或合法代理商或合法授权供应商（提供相关证明）；若所投产品</w:t>
      </w:r>
      <w:r>
        <w:rPr>
          <w:rFonts w:ascii="宋体" w:hAnsi="宋体" w:eastAsia="宋体" w:cs="宋体"/>
          <w:sz w:val="24"/>
          <w:szCs w:val="24"/>
        </w:rPr>
        <w:t>超声诊断床</w:t>
      </w:r>
      <w:r>
        <w:rPr>
          <w:rFonts w:hint="eastAsia" w:ascii="宋体" w:hAnsi="宋体"/>
          <w:sz w:val="24"/>
          <w:highlight w:val="none"/>
        </w:rPr>
        <w:t>是国内产品（非进口产品），则投标人不需要提供其为所投产品的制造商或</w:t>
      </w:r>
      <w:r>
        <w:rPr>
          <w:rFonts w:hint="eastAsia" w:ascii="宋体" w:hAnsi="宋体"/>
          <w:sz w:val="24"/>
        </w:rPr>
        <w:t>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7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0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eastAsia" w:eastAsia="宋体"/>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val="0"/>
                <w:bCs w:val="0"/>
                <w:color w:val="000000" w:themeColor="text1"/>
                <w:szCs w:val="21"/>
                <w:lang w:eastAsia="zh-CN"/>
                <w14:textFill>
                  <w14:solidFill>
                    <w14:schemeClr w14:val="tx1"/>
                  </w14:solidFill>
                </w14:textFill>
              </w:rPr>
            </w:pPr>
            <w:r>
              <w:rPr>
                <w:rFonts w:ascii="宋体" w:hAnsi="宋体" w:eastAsia="宋体" w:cs="宋体"/>
                <w:sz w:val="24"/>
                <w:szCs w:val="24"/>
              </w:rPr>
              <w:t>超声诊断床</w:t>
            </w:r>
          </w:p>
        </w:tc>
        <w:tc>
          <w:tcPr>
            <w:tcW w:w="1018" w:type="dxa"/>
            <w:vAlign w:val="center"/>
          </w:tcPr>
          <w:p>
            <w:pPr>
              <w:jc w:val="center"/>
              <w:rPr>
                <w:rFonts w:hint="eastAsia" w:eastAsia="宋体"/>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3</w:t>
            </w:r>
          </w:p>
        </w:tc>
        <w:tc>
          <w:tcPr>
            <w:tcW w:w="993" w:type="dxa"/>
            <w:vAlign w:val="center"/>
          </w:tcPr>
          <w:p>
            <w:pPr>
              <w:jc w:val="center"/>
              <w:rPr>
                <w:rFonts w:hint="eastAsia" w:eastAsia="宋体"/>
                <w:b w:val="0"/>
                <w:bCs w:val="0"/>
                <w:color w:val="000000" w:themeColor="text1"/>
                <w:szCs w:val="21"/>
                <w:lang w:eastAsia="zh-CN"/>
                <w14:textFill>
                  <w14:solidFill>
                    <w14:schemeClr w14:val="tx1"/>
                  </w14:solidFill>
                </w14:textFill>
              </w:rPr>
            </w:pPr>
            <w:r>
              <w:rPr>
                <w:rFonts w:hint="eastAsia"/>
                <w:b w:val="0"/>
                <w:bCs w:val="0"/>
                <w:color w:val="000000" w:themeColor="text1"/>
                <w:szCs w:val="21"/>
                <w:lang w:eastAsia="zh-CN"/>
                <w14:textFill>
                  <w14:solidFill>
                    <w14:schemeClr w14:val="tx1"/>
                  </w14:solidFill>
                </w14:textFill>
              </w:rPr>
              <w:t>台</w:t>
            </w:r>
          </w:p>
        </w:tc>
        <w:tc>
          <w:tcPr>
            <w:tcW w:w="2038" w:type="dxa"/>
            <w:vAlign w:val="center"/>
          </w:tcPr>
          <w:p>
            <w:pPr>
              <w:jc w:val="center"/>
              <w:rPr>
                <w:rFonts w:hint="default" w:eastAsia="宋体"/>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8.4</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hint="eastAsia" w:ascii="宋体" w:hAnsi="宋体" w:eastAsia="宋体"/>
                <w:szCs w:val="21"/>
                <w:lang w:eastAsia="zh-CN"/>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center"/>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tcPr>
          <w:p>
            <w:pPr>
              <w:widowControl/>
              <w:jc w:val="center"/>
              <w:rPr>
                <w:rFonts w:hint="eastAsia" w:ascii="宋体" w:hAnsi="宋体" w:eastAsia="宋体"/>
                <w:kern w:val="0"/>
                <w:szCs w:val="21"/>
                <w:lang w:eastAsia="zh-CN"/>
              </w:rPr>
            </w:pPr>
            <w:r>
              <w:rPr>
                <w:rFonts w:hint="eastAsia" w:ascii="宋体" w:hAnsi="宋体"/>
                <w:kern w:val="0"/>
                <w:szCs w:val="21"/>
                <w:lang w:eastAsia="zh-CN"/>
              </w:rPr>
              <w:t>电动病床</w:t>
            </w:r>
          </w:p>
        </w:tc>
        <w:tc>
          <w:tcPr>
            <w:tcW w:w="4819" w:type="dxa"/>
          </w:tcPr>
          <w:p>
            <w:pPr>
              <w:widowControl/>
              <w:jc w:val="left"/>
              <w:rPr>
                <w:rFonts w:ascii="宋体" w:hAnsi="宋体"/>
                <w:kern w:val="0"/>
                <w:szCs w:val="21"/>
              </w:rPr>
            </w:pPr>
            <w:r>
              <w:rPr>
                <w:rFonts w:hint="eastAsia" w:asciiTheme="minorEastAsia" w:hAnsiTheme="minorEastAsia"/>
              </w:rPr>
              <w:t>1、床长度</w:t>
            </w:r>
            <w:r>
              <w:rPr>
                <w:rFonts w:hint="default" w:ascii="Arial" w:hAnsi="Arial" w:cs="Arial"/>
              </w:rPr>
              <w:t>≥</w:t>
            </w:r>
            <w:r>
              <w:rPr>
                <w:rFonts w:hint="eastAsia" w:asciiTheme="minorEastAsia" w:hAnsiTheme="minorEastAsia"/>
              </w:rPr>
              <w:t>205厘米，宽度</w:t>
            </w:r>
            <w:r>
              <w:rPr>
                <w:rFonts w:hint="default" w:ascii="Arial" w:hAnsi="Arial" w:cs="Arial"/>
              </w:rPr>
              <w:t>≥</w:t>
            </w:r>
            <w:r>
              <w:rPr>
                <w:rFonts w:hint="eastAsia" w:asciiTheme="minorEastAsia" w:hAnsiTheme="minorEastAsia"/>
              </w:rPr>
              <w:t>65厘米，高度58～85厘米</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default" w:ascii="宋体" w:hAnsi="宋体" w:eastAsia="宋体"/>
                <w:kern w:val="0"/>
                <w:szCs w:val="21"/>
                <w:lang w:val="en-US" w:eastAsia="zh-CN"/>
              </w:rPr>
            </w:pPr>
            <w:r>
              <w:rPr>
                <w:rFonts w:hint="eastAsia" w:asciiTheme="minorEastAsia" w:hAnsiTheme="minorEastAsia"/>
              </w:rPr>
              <w:t>2、外观人性化设计</w:t>
            </w:r>
            <w:r>
              <w:rPr>
                <w:rFonts w:hint="eastAsia" w:asciiTheme="minorEastAsia" w:hAnsiTheme="minorEastAsia"/>
                <w:lang w:eastAsia="zh-CN"/>
              </w:rPr>
              <w:t>，</w:t>
            </w:r>
            <w:r>
              <w:rPr>
                <w:rFonts w:hint="eastAsia" w:asciiTheme="minorEastAsia" w:hAnsiTheme="minorEastAsia"/>
                <w:lang w:val="en-US" w:eastAsia="zh-CN"/>
              </w:rPr>
              <w:t>符合国家标准</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Theme="minorEastAsia" w:hAnsiTheme="minorEastAsia"/>
              </w:rPr>
              <w:t>3、电子自动纠偏系统，克服传统换纸装置单边卡纸</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eastAsia" w:ascii="宋体" w:hAnsi="宋体" w:eastAsia="宋体"/>
                <w:kern w:val="0"/>
                <w:szCs w:val="21"/>
                <w:lang w:val="en-US" w:eastAsia="zh-CN"/>
              </w:rPr>
            </w:pPr>
            <w:r>
              <w:rPr>
                <w:rFonts w:hint="eastAsia" w:asciiTheme="minorEastAsia" w:hAnsiTheme="minorEastAsia"/>
              </w:rPr>
              <w:t>4、一次性卷纸换纸功能、卫生干净、避免患者病菌、体液交叉感染</w:t>
            </w:r>
            <w:r>
              <w:rPr>
                <w:rFonts w:hint="eastAsia" w:asciiTheme="minorEastAsia" w:hAnsiTheme="minorEastAsia"/>
                <w:lang w:val="en-US" w:eastAsia="zh-CN"/>
              </w:rPr>
              <w:t>等</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olor w:val="auto"/>
                <w:highlight w:val="none"/>
              </w:rPr>
              <w:t>▲</w:t>
            </w:r>
            <w:r>
              <w:rPr>
                <w:rFonts w:hint="eastAsia" w:asciiTheme="minorEastAsia" w:hAnsiTheme="minorEastAsia"/>
              </w:rPr>
              <w:t>5、自动或手动选择换纸长度</w:t>
            </w:r>
            <w:r>
              <w:rPr>
                <w:rFonts w:hint="eastAsia" w:asciiTheme="minorEastAsia" w:hAnsiTheme="minorEastAsia"/>
                <w:lang w:eastAsia="zh-CN"/>
              </w:rPr>
              <w:t>。</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Theme="minorEastAsia" w:hAnsiTheme="minorEastAsia"/>
                <w:lang w:val="en-US" w:eastAsia="zh-CN"/>
              </w:rPr>
              <w:t>6</w:t>
            </w:r>
            <w:r>
              <w:rPr>
                <w:rFonts w:hint="eastAsia" w:asciiTheme="minorEastAsia" w:hAnsiTheme="minorEastAsia"/>
              </w:rPr>
              <w:t>、输液支架</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Theme="minorEastAsia" w:hAnsiTheme="minorEastAsia"/>
                <w:lang w:val="en-US" w:eastAsia="zh-CN"/>
              </w:rPr>
              <w:t>7</w:t>
            </w:r>
            <w:r>
              <w:rPr>
                <w:rFonts w:hint="eastAsia" w:asciiTheme="minorEastAsia" w:hAnsiTheme="minorEastAsia"/>
              </w:rPr>
              <w:t>、四轮配置静音万向轮、全配置锁死机构</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eastAsia" w:ascii="宋体" w:hAnsi="宋体" w:eastAsia="宋体"/>
                <w:kern w:val="0"/>
                <w:szCs w:val="21"/>
                <w:lang w:eastAsia="zh-CN"/>
              </w:rPr>
            </w:pPr>
            <w:r>
              <w:rPr>
                <w:rFonts w:hint="eastAsia"/>
                <w:color w:val="auto"/>
                <w:highlight w:val="none"/>
              </w:rPr>
              <w:t>▲</w:t>
            </w:r>
            <w:r>
              <w:rPr>
                <w:rFonts w:hint="eastAsia" w:asciiTheme="minorEastAsia" w:hAnsiTheme="minorEastAsia"/>
                <w:lang w:val="en-US" w:eastAsia="zh-CN"/>
              </w:rPr>
              <w:t>8</w:t>
            </w:r>
            <w:r>
              <w:rPr>
                <w:rFonts w:hint="eastAsia" w:asciiTheme="minorEastAsia" w:hAnsiTheme="minorEastAsia"/>
              </w:rPr>
              <w:t>、耦合剂加热</w:t>
            </w:r>
            <w:r>
              <w:rPr>
                <w:rFonts w:hint="eastAsia" w:asciiTheme="minorEastAsia" w:hAnsiTheme="minorEastAsia"/>
                <w:lang w:val="en-US" w:eastAsia="zh-CN"/>
              </w:rPr>
              <w:t>功能</w:t>
            </w:r>
            <w:r>
              <w:rPr>
                <w:rFonts w:hint="eastAsia" w:asciiTheme="minorEastAsia" w:hAnsiTheme="minorEastAsia"/>
                <w:lang w:eastAsia="zh-CN"/>
              </w:rPr>
              <w:t>，可支持耦合剂倒置使用</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Theme="minorEastAsia" w:hAnsiTheme="minorEastAsia"/>
                <w:lang w:val="en-US" w:eastAsia="zh-CN"/>
              </w:rPr>
              <w:t>9</w:t>
            </w:r>
            <w:r>
              <w:rPr>
                <w:rFonts w:hint="eastAsia" w:asciiTheme="minorEastAsia" w:hAnsiTheme="minorEastAsia"/>
              </w:rPr>
              <w:t>、防紫外线高密度抗菌防水面、清洁方便、经久耐用</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Theme="minorEastAsia" w:hAnsiTheme="minorEastAsia"/>
                <w:lang w:val="en-US" w:eastAsia="zh-CN"/>
              </w:rPr>
              <w:t>10</w:t>
            </w:r>
            <w:r>
              <w:rPr>
                <w:rFonts w:hint="eastAsia" w:asciiTheme="minorEastAsia" w:hAnsiTheme="minorEastAsia"/>
              </w:rPr>
              <w:t>、</w:t>
            </w:r>
            <w:r>
              <w:rPr>
                <w:rFonts w:asciiTheme="minorEastAsia" w:hAnsiTheme="minorEastAsia"/>
              </w:rPr>
              <w:t>床面垂直上下电动抬升</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olor w:val="auto"/>
                <w:highlight w:val="none"/>
              </w:rPr>
              <w:t>▲</w:t>
            </w:r>
            <w:r>
              <w:rPr>
                <w:rFonts w:hint="eastAsia" w:asciiTheme="minorEastAsia" w:hAnsiTheme="minorEastAsia"/>
                <w:lang w:val="en-US" w:eastAsia="zh-CN"/>
              </w:rPr>
              <w:t>11</w:t>
            </w:r>
            <w:r>
              <w:rPr>
                <w:rFonts w:hint="eastAsia" w:asciiTheme="minorEastAsia" w:hAnsiTheme="minorEastAsia"/>
              </w:rPr>
              <w:t>、电动床面水平移动，有第5轮支撑防患者倾倒</w:t>
            </w: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pStyle w:val="6"/>
        <w:numPr>
          <w:ilvl w:val="0"/>
          <w:numId w:val="1"/>
        </w:numPr>
        <w:spacing w:beforeLines="50" w:afterLines="50"/>
        <w:jc w:val="both"/>
        <w:rPr>
          <w:rFonts w:hint="default"/>
          <w:lang w:val="en-US" w:eastAsia="zh-CN"/>
        </w:rPr>
      </w:pPr>
      <w:r>
        <w:rPr>
          <w:rFonts w:hint="eastAsia"/>
          <w:szCs w:val="24"/>
        </w:rPr>
        <w:t>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4961" w:type="dxa"/>
          </w:tcPr>
          <w:p>
            <w:pPr>
              <w:widowControl/>
              <w:jc w:val="left"/>
              <w:rPr>
                <w:rFonts w:ascii="宋体" w:hAnsi="宋体"/>
                <w:szCs w:val="21"/>
              </w:rPr>
            </w:pPr>
            <w:r>
              <w:rPr>
                <w:rFonts w:hint="eastAsia" w:asciiTheme="minorEastAsia" w:hAnsiTheme="minorEastAsia"/>
              </w:rPr>
              <w:t xml:space="preserve">检查床主体 </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3</w:t>
            </w:r>
          </w:p>
        </w:tc>
        <w:tc>
          <w:tcPr>
            <w:tcW w:w="709" w:type="dxa"/>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套</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4961" w:type="dxa"/>
          </w:tcPr>
          <w:p>
            <w:pPr>
              <w:widowControl/>
              <w:jc w:val="left"/>
              <w:rPr>
                <w:rFonts w:ascii="宋体" w:hAnsi="宋体"/>
                <w:szCs w:val="21"/>
              </w:rPr>
            </w:pPr>
            <w:r>
              <w:rPr>
                <w:rFonts w:asciiTheme="minorEastAsia" w:hAnsiTheme="minorEastAsia"/>
              </w:rPr>
              <w:t>床面垂直上下电动</w:t>
            </w:r>
            <w:r>
              <w:rPr>
                <w:rFonts w:hint="eastAsia" w:asciiTheme="minorEastAsia" w:hAnsiTheme="minorEastAsia"/>
              </w:rPr>
              <w:t xml:space="preserve">功能 </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3</w:t>
            </w:r>
          </w:p>
        </w:tc>
        <w:tc>
          <w:tcPr>
            <w:tcW w:w="709" w:type="dxa"/>
            <w:vAlign w:val="top"/>
          </w:tcPr>
          <w:p>
            <w:pPr>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套</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4961" w:type="dxa"/>
          </w:tcPr>
          <w:p>
            <w:pPr>
              <w:widowControl/>
              <w:jc w:val="left"/>
              <w:rPr>
                <w:rFonts w:ascii="宋体" w:hAnsi="宋体"/>
                <w:szCs w:val="21"/>
              </w:rPr>
            </w:pPr>
            <w:r>
              <w:rPr>
                <w:rFonts w:hint="eastAsia" w:asciiTheme="minorEastAsia" w:hAnsiTheme="minorEastAsia"/>
              </w:rPr>
              <w:t>床面水平移动电动功能　</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3</w:t>
            </w:r>
          </w:p>
        </w:tc>
        <w:tc>
          <w:tcPr>
            <w:tcW w:w="709" w:type="dxa"/>
            <w:vAlign w:val="top"/>
          </w:tcPr>
          <w:p>
            <w:pPr>
              <w:jc w:val="center"/>
              <w:rPr>
                <w:rFonts w:ascii="新宋体" w:hAnsi="新宋体" w:eastAsia="新宋体" w:cs="宋体"/>
                <w:color w:val="000000" w:themeColor="text1"/>
                <w:kern w:val="24"/>
                <w:szCs w:val="21"/>
                <w14:textFill>
                  <w14:solidFill>
                    <w14:schemeClr w14:val="tx1"/>
                  </w14:solidFill>
                </w14:textFill>
              </w:rPr>
            </w:pPr>
            <w:r>
              <w:rPr>
                <w:rFonts w:hint="eastAsia"/>
                <w:color w:val="000000" w:themeColor="text1"/>
                <w:lang w:eastAsia="zh-CN"/>
                <w14:textFill>
                  <w14:solidFill>
                    <w14:schemeClr w14:val="tx1"/>
                  </w14:solidFill>
                </w14:textFill>
              </w:rPr>
              <w:t>套</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4961" w:type="dxa"/>
          </w:tcPr>
          <w:p>
            <w:pPr>
              <w:widowControl/>
              <w:jc w:val="left"/>
              <w:rPr>
                <w:rFonts w:ascii="宋体" w:hAnsi="宋体"/>
                <w:szCs w:val="21"/>
              </w:rPr>
            </w:pPr>
            <w:r>
              <w:rPr>
                <w:rFonts w:hint="eastAsia" w:asciiTheme="minorEastAsia" w:hAnsiTheme="minorEastAsia"/>
              </w:rPr>
              <w:t xml:space="preserve">耦合剂加热器 </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3</w:t>
            </w:r>
          </w:p>
        </w:tc>
        <w:tc>
          <w:tcPr>
            <w:tcW w:w="709" w:type="dxa"/>
            <w:vAlign w:val="top"/>
          </w:tcPr>
          <w:p>
            <w:pPr>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eastAsia="zh-CN"/>
                <w14:textFill>
                  <w14:solidFill>
                    <w14:schemeClr w14:val="tx1"/>
                  </w14:solidFill>
                </w14:textFill>
              </w:rPr>
              <w:t>个</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4961" w:type="dxa"/>
          </w:tcPr>
          <w:p>
            <w:pPr>
              <w:widowControl/>
              <w:jc w:val="left"/>
              <w:rPr>
                <w:rFonts w:ascii="宋体" w:hAnsi="宋体"/>
                <w:szCs w:val="21"/>
              </w:rPr>
            </w:pPr>
            <w:r>
              <w:rPr>
                <w:rFonts w:hint="eastAsia" w:asciiTheme="minorEastAsia" w:hAnsiTheme="minorEastAsia"/>
              </w:rPr>
              <w:t xml:space="preserve">输液架 </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3</w:t>
            </w:r>
          </w:p>
        </w:tc>
        <w:tc>
          <w:tcPr>
            <w:tcW w:w="709" w:type="dxa"/>
            <w:vAlign w:val="top"/>
          </w:tcPr>
          <w:p>
            <w:pPr>
              <w:jc w:val="center"/>
              <w:rPr>
                <w:rFonts w:hint="eastAsia" w:ascii="新宋体" w:hAnsi="新宋体" w:eastAsia="新宋体" w:cs="宋体"/>
                <w:color w:val="000000" w:themeColor="text1"/>
                <w:kern w:val="24"/>
                <w:szCs w:val="21"/>
                <w:lang w:eastAsia="zh-CN"/>
                <w14:textFill>
                  <w14:solidFill>
                    <w14:schemeClr w14:val="tx1"/>
                  </w14:solidFill>
                </w14:textFill>
              </w:rPr>
            </w:pPr>
            <w:r>
              <w:rPr>
                <w:rFonts w:hint="eastAsia" w:ascii="新宋体" w:hAnsi="新宋体" w:eastAsia="新宋体" w:cs="宋体"/>
                <w:color w:val="000000" w:themeColor="text1"/>
                <w:kern w:val="24"/>
                <w:szCs w:val="21"/>
                <w:lang w:eastAsia="zh-CN"/>
                <w14:textFill>
                  <w14:solidFill>
                    <w14:schemeClr w14:val="tx1"/>
                  </w14:solidFill>
                </w14:textFill>
              </w:rPr>
              <w:t>个</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4961" w:type="dxa"/>
          </w:tcPr>
          <w:p>
            <w:pPr>
              <w:widowControl/>
              <w:jc w:val="left"/>
              <w:rPr>
                <w:rFonts w:ascii="宋体" w:hAnsi="宋体"/>
                <w:szCs w:val="21"/>
              </w:rPr>
            </w:pPr>
            <w:r>
              <w:rPr>
                <w:rFonts w:hint="eastAsia" w:asciiTheme="minorEastAsia" w:hAnsiTheme="minorEastAsia"/>
              </w:rPr>
              <w:t xml:space="preserve">床单(宽度62厘米，长80米) </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3</w:t>
            </w:r>
          </w:p>
        </w:tc>
        <w:tc>
          <w:tcPr>
            <w:tcW w:w="709" w:type="dxa"/>
            <w:vAlign w:val="top"/>
          </w:tcPr>
          <w:p>
            <w:pPr>
              <w:jc w:val="center"/>
              <w:rPr>
                <w:rFonts w:hint="eastAsia" w:ascii="新宋体" w:hAnsi="新宋体" w:eastAsia="新宋体" w:cs="宋体"/>
                <w:color w:val="000000" w:themeColor="text1"/>
                <w:kern w:val="24"/>
                <w:szCs w:val="21"/>
                <w:lang w:eastAsia="zh-CN"/>
                <w14:textFill>
                  <w14:solidFill>
                    <w14:schemeClr w14:val="tx1"/>
                  </w14:solidFill>
                </w14:textFill>
              </w:rPr>
            </w:pPr>
            <w:r>
              <w:rPr>
                <w:rFonts w:hint="eastAsia" w:ascii="新宋体" w:hAnsi="新宋体" w:eastAsia="新宋体" w:cs="宋体"/>
                <w:color w:val="000000" w:themeColor="text1"/>
                <w:kern w:val="24"/>
                <w:szCs w:val="21"/>
                <w:lang w:eastAsia="zh-CN"/>
                <w14:textFill>
                  <w14:solidFill>
                    <w14:schemeClr w14:val="tx1"/>
                  </w14:solidFill>
                </w14:textFill>
              </w:rPr>
              <w:t>卷</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4961" w:type="dxa"/>
          </w:tcPr>
          <w:p>
            <w:pPr>
              <w:rPr>
                <w:rFonts w:ascii="宋体" w:hAnsi="宋体"/>
                <w:szCs w:val="21"/>
              </w:rPr>
            </w:pPr>
            <w:r>
              <w:rPr>
                <w:rFonts w:hint="eastAsia" w:asciiTheme="minorEastAsia" w:hAnsiTheme="minorEastAsia"/>
              </w:rPr>
              <w:t xml:space="preserve">说明书 </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4</w:t>
            </w:r>
          </w:p>
        </w:tc>
        <w:tc>
          <w:tcPr>
            <w:tcW w:w="709" w:type="dxa"/>
            <w:vAlign w:val="top"/>
          </w:tcPr>
          <w:p>
            <w:pPr>
              <w:jc w:val="center"/>
              <w:rPr>
                <w:rFonts w:ascii="新宋体" w:hAnsi="新宋体" w:eastAsia="新宋体" w:cs="宋体"/>
                <w:color w:val="000000" w:themeColor="text1"/>
                <w:kern w:val="24"/>
                <w:szCs w:val="21"/>
                <w14:textFill>
                  <w14:solidFill>
                    <w14:schemeClr w14:val="tx1"/>
                  </w14:solidFill>
                </w14:textFill>
              </w:rPr>
            </w:pPr>
            <w:r>
              <w:rPr>
                <w:rFonts w:hint="eastAsia"/>
                <w:color w:val="000000" w:themeColor="text1"/>
                <w:lang w:eastAsia="zh-CN"/>
                <w14:textFill>
                  <w14:solidFill>
                    <w14:schemeClr w14:val="tx1"/>
                  </w14:solidFill>
                </w14:textFill>
              </w:rPr>
              <w:t>套</w:t>
            </w:r>
          </w:p>
        </w:tc>
        <w:tc>
          <w:tcPr>
            <w:tcW w:w="1011" w:type="dxa"/>
          </w:tcPr>
          <w:p>
            <w:pPr>
              <w:rPr>
                <w:rFonts w:ascii="宋体" w:hAnsi="宋体"/>
                <w:color w:val="000000" w:themeColor="text1"/>
                <w:szCs w:val="21"/>
                <w14:textFill>
                  <w14:solidFill>
                    <w14:schemeClr w14:val="tx1"/>
                  </w14:solidFill>
                </w14:textFill>
              </w:rPr>
            </w:pPr>
          </w:p>
        </w:tc>
      </w:tr>
    </w:tbl>
    <w:p/>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ind w:leftChars="0"/>
        <w:textAlignment w:val="auto"/>
        <w:rPr>
          <w:rFonts w:hint="eastAsia" w:ascii="宋体" w:hAnsi="宋体" w:cs="宋体"/>
          <w:sz w:val="21"/>
          <w:szCs w:val="21"/>
          <w:lang w:eastAsia="zh-CN"/>
        </w:rPr>
      </w:pPr>
      <w:bookmarkStart w:id="0" w:name="_Toc435514848"/>
      <w:r>
        <w:rPr>
          <w:rFonts w:hint="eastAsia" w:ascii="宋体" w:hAnsi="宋体" w:cs="宋体"/>
          <w:sz w:val="21"/>
          <w:szCs w:val="21"/>
          <w:lang w:eastAsia="zh-CN"/>
        </w:rPr>
        <w:t>相关耗材</w:t>
      </w:r>
      <w:r>
        <w:rPr>
          <w:rFonts w:hint="eastAsia" w:ascii="宋体" w:hAnsi="宋体" w:cs="宋体"/>
          <w:sz w:val="21"/>
          <w:szCs w:val="21"/>
        </w:rPr>
        <w:t>要求</w:t>
      </w:r>
      <w:r>
        <w:rPr>
          <w:rFonts w:hint="eastAsia" w:ascii="宋体" w:hAnsi="宋体" w:cs="宋体"/>
          <w:sz w:val="21"/>
          <w:szCs w:val="21"/>
          <w:lang w:eastAsia="zh-CN"/>
        </w:rPr>
        <w:t>：</w:t>
      </w:r>
    </w:p>
    <w:p>
      <w:pPr>
        <w:rPr>
          <w:rFonts w:hint="eastAsia" w:ascii="宋体" w:hAnsi="宋体" w:cs="宋体"/>
          <w:sz w:val="21"/>
          <w:szCs w:val="21"/>
          <w:lang w:eastAsia="zh-CN"/>
        </w:rPr>
      </w:pPr>
    </w:p>
    <w:p>
      <w:pPr>
        <w:keepNext w:val="0"/>
        <w:keepLines w:val="0"/>
        <w:pageBreakBefore w:val="0"/>
        <w:widowControl w:val="0"/>
        <w:numPr>
          <w:ilvl w:val="0"/>
          <w:numId w:val="3"/>
        </w:numPr>
        <w:kinsoku/>
        <w:wordWrap/>
        <w:overflowPunct/>
        <w:topLinePunct w:val="0"/>
        <w:autoSpaceDE/>
        <w:autoSpaceDN/>
        <w:bidi w:val="0"/>
        <w:spacing w:line="460" w:lineRule="atLeast"/>
        <w:ind w:firstLine="420" w:firstLineChars="200"/>
        <w:textAlignment w:val="auto"/>
        <w:rPr>
          <w:rFonts w:hint="eastAsia" w:ascii="宋体" w:hAnsi="宋体" w:cs="宋体"/>
          <w:kern w:val="0"/>
          <w:szCs w:val="21"/>
        </w:rPr>
      </w:pPr>
      <w:r>
        <w:rPr>
          <w:rFonts w:hint="eastAsia"/>
          <w:lang w:val="en-US" w:eastAsia="zh-CN"/>
        </w:rPr>
        <w:t>如所采购设备涉及到耗材、试剂，要求供应商填报相关价格（格式详见“耗材、试剂报价表”）作为投标文件一部份，</w:t>
      </w:r>
      <w:r>
        <w:rPr>
          <w:rFonts w:hint="eastAsia" w:ascii="宋体" w:hAnsi="宋体" w:cs="宋体"/>
          <w:kern w:val="0"/>
          <w:szCs w:val="21"/>
        </w:rPr>
        <w:t>如</w:t>
      </w:r>
      <w:r>
        <w:rPr>
          <w:rFonts w:hint="eastAsia" w:ascii="宋体" w:hAnsi="宋体" w:cs="宋体"/>
          <w:kern w:val="0"/>
          <w:szCs w:val="21"/>
          <w:lang w:val="en-US" w:eastAsia="zh-CN"/>
        </w:rPr>
        <w:t>未填写</w:t>
      </w:r>
      <w:r>
        <w:rPr>
          <w:rFonts w:hint="eastAsia" w:ascii="宋体" w:hAnsi="宋体" w:cs="宋体"/>
          <w:kern w:val="0"/>
          <w:szCs w:val="21"/>
        </w:rPr>
        <w:t>，将被视为未实质性满足招标文件要求作投标无效处理。</w:t>
      </w:r>
    </w:p>
    <w:p>
      <w:pPr>
        <w:keepNext w:val="0"/>
        <w:keepLines w:val="0"/>
        <w:pageBreakBefore w:val="0"/>
        <w:widowControl w:val="0"/>
        <w:numPr>
          <w:ilvl w:val="0"/>
          <w:numId w:val="3"/>
        </w:numPr>
        <w:kinsoku/>
        <w:wordWrap/>
        <w:overflowPunct/>
        <w:topLinePunct w:val="0"/>
        <w:autoSpaceDE/>
        <w:autoSpaceDN/>
        <w:bidi w:val="0"/>
        <w:spacing w:line="460" w:lineRule="atLeast"/>
        <w:ind w:firstLine="420" w:firstLineChars="200"/>
        <w:textAlignment w:val="auto"/>
        <w:rPr>
          <w:rFonts w:hint="eastAsia"/>
          <w:lang w:val="en-US" w:eastAsia="zh-CN"/>
        </w:rPr>
      </w:pPr>
      <w:r>
        <w:rPr>
          <w:rFonts w:hint="eastAsia"/>
          <w:lang w:val="en-US" w:eastAsia="zh-CN"/>
        </w:rPr>
        <w:t>需要同时提供该耗材的历史成交记录（如合同关键页、发票等能有效证明成交记录的材料）。</w:t>
      </w:r>
    </w:p>
    <w:p>
      <w:pPr>
        <w:pStyle w:val="2"/>
        <w:rPr>
          <w:rFonts w:hint="eastAsia"/>
          <w:lang w:eastAsia="zh-CN"/>
        </w:rPr>
      </w:pPr>
    </w:p>
    <w:p>
      <w:pPr>
        <w:rPr>
          <w:rFonts w:hint="eastAsia"/>
          <w:lang w:val="en-US" w:eastAsia="zh-CN"/>
        </w:rPr>
      </w:pP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hint="eastAsia" w:ascii="宋体" w:hAnsi="宋体" w:cs="宋体"/>
                <w:b/>
                <w:szCs w:val="21"/>
              </w:rPr>
            </w:pPr>
            <w:r>
              <w:rPr>
                <w:rFonts w:hint="eastAsia"/>
                <w:b/>
                <w:bCs/>
                <w:sz w:val="30"/>
                <w:szCs w:val="30"/>
                <w:lang w:val="en-US" w:eastAsia="zh-CN"/>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eastAsia" w:ascii="宋体" w:hAnsi="宋体" w:eastAsia="宋体" w:cs="宋体"/>
                <w:sz w:val="24"/>
                <w:lang w:val="en-US" w:eastAsia="zh-CN"/>
              </w:rPr>
            </w:pPr>
          </w:p>
        </w:tc>
        <w:tc>
          <w:tcPr>
            <w:tcW w:w="1159" w:type="dxa"/>
          </w:tcPr>
          <w:p>
            <w:pPr>
              <w:spacing w:line="360" w:lineRule="auto"/>
              <w:rPr>
                <w:rFonts w:hint="default" w:ascii="宋体" w:hAnsi="宋体" w:eastAsia="宋体" w:cs="宋体"/>
                <w:sz w:val="24"/>
                <w:lang w:val="en-US" w:eastAsia="zh-CN"/>
              </w:rPr>
            </w:pPr>
          </w:p>
        </w:tc>
        <w:tc>
          <w:tcPr>
            <w:tcW w:w="1100" w:type="dxa"/>
          </w:tcPr>
          <w:p>
            <w:pPr>
              <w:spacing w:line="360" w:lineRule="auto"/>
              <w:rPr>
                <w:rFonts w:hint="default" w:ascii="宋体" w:hAnsi="宋体" w:eastAsia="宋体" w:cs="宋体"/>
                <w:sz w:val="24"/>
                <w:lang w:val="en-US" w:eastAsia="zh-CN"/>
              </w:rPr>
            </w:pPr>
          </w:p>
        </w:tc>
        <w:tc>
          <w:tcPr>
            <w:tcW w:w="696"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keepNext w:val="0"/>
        <w:keepLines w:val="0"/>
        <w:pageBreakBefore w:val="0"/>
        <w:widowControl w:val="0"/>
        <w:kinsoku/>
        <w:wordWrap/>
        <w:overflowPunct/>
        <w:topLinePunct w:val="0"/>
        <w:autoSpaceDE/>
        <w:autoSpaceDN/>
        <w:bidi w:val="0"/>
        <w:spacing w:line="460" w:lineRule="atLeast"/>
        <w:textAlignment w:val="auto"/>
        <w:rPr>
          <w:rFonts w:hint="eastAsia"/>
          <w:lang w:val="en-US" w:eastAsia="zh-CN"/>
        </w:rPr>
      </w:pPr>
    </w:p>
    <w:p>
      <w:pPr>
        <w:pStyle w:val="2"/>
        <w:rPr>
          <w:rFonts w:hint="eastAsia"/>
          <w:lang w:val="en-US" w:eastAsia="zh-CN"/>
        </w:rPr>
      </w:pPr>
    </w:p>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5、</w:t>
            </w:r>
            <w:r>
              <w:rPr>
                <w:rFonts w:hint="eastAsia"/>
                <w:b/>
                <w:bCs w:val="0"/>
                <w:color w:val="auto"/>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w:t>
            </w:r>
            <w:r>
              <w:rPr>
                <w:rFonts w:hint="eastAsia" w:ascii="宋体" w:hAnsi="宋体" w:eastAsia="宋体" w:cs="宋体"/>
                <w:color w:val="FF0000"/>
                <w:sz w:val="21"/>
                <w:szCs w:val="21"/>
              </w:rPr>
              <w:t>90天内支付合同总价的</w:t>
            </w:r>
            <w:r>
              <w:rPr>
                <w:rFonts w:hint="eastAsia" w:ascii="宋体" w:hAnsi="宋体" w:cs="宋体"/>
                <w:color w:val="FF0000"/>
                <w:sz w:val="21"/>
                <w:szCs w:val="21"/>
                <w:lang w:val="en-US" w:eastAsia="zh-CN"/>
              </w:rPr>
              <w:t>50%</w:t>
            </w:r>
            <w:r>
              <w:rPr>
                <w:rFonts w:hint="eastAsia" w:ascii="宋体" w:hAnsi="宋体" w:eastAsia="宋体" w:cs="宋体"/>
                <w:color w:val="FF0000"/>
                <w:sz w:val="21"/>
                <w:szCs w:val="21"/>
              </w:rPr>
              <w:t>货款，验收合格</w:t>
            </w:r>
            <w:r>
              <w:rPr>
                <w:rFonts w:hint="eastAsia" w:ascii="宋体" w:hAnsi="宋体" w:cs="宋体"/>
                <w:color w:val="FF0000"/>
                <w:sz w:val="21"/>
                <w:szCs w:val="21"/>
                <w:lang w:eastAsia="zh-CN"/>
              </w:rPr>
              <w:t>满一年后</w:t>
            </w:r>
            <w:r>
              <w:rPr>
                <w:rFonts w:hint="eastAsia" w:ascii="宋体" w:hAnsi="宋体" w:eastAsia="宋体" w:cs="宋体"/>
                <w:color w:val="FF0000"/>
                <w:sz w:val="21"/>
                <w:szCs w:val="21"/>
              </w:rPr>
              <w:t>支付合同总价的</w:t>
            </w:r>
            <w:r>
              <w:rPr>
                <w:rFonts w:hint="eastAsia" w:ascii="宋体" w:hAnsi="宋体" w:cs="宋体"/>
                <w:color w:val="FF0000"/>
                <w:sz w:val="21"/>
                <w:szCs w:val="21"/>
                <w:lang w:val="en-US" w:eastAsia="zh-CN"/>
              </w:rPr>
              <w:t>45%</w:t>
            </w:r>
            <w:r>
              <w:rPr>
                <w:rFonts w:hint="eastAsia" w:ascii="宋体" w:hAnsi="宋体" w:eastAsia="宋体" w:cs="宋体"/>
                <w:color w:val="FF0000"/>
                <w:sz w:val="21"/>
                <w:szCs w:val="21"/>
              </w:rPr>
              <w:t>货款</w:t>
            </w:r>
            <w:r>
              <w:rPr>
                <w:rFonts w:hint="eastAsia" w:ascii="宋体" w:hAnsi="宋体" w:cs="宋体"/>
                <w:color w:val="FF0000"/>
                <w:sz w:val="21"/>
                <w:szCs w:val="21"/>
                <w:lang w:eastAsia="zh-CN"/>
              </w:rPr>
              <w:t>，</w:t>
            </w:r>
            <w:r>
              <w:rPr>
                <w:rFonts w:hint="eastAsia" w:ascii="宋体" w:hAnsi="宋体" w:eastAsia="宋体" w:cs="宋体"/>
                <w:color w:val="FF0000"/>
                <w:sz w:val="21"/>
                <w:szCs w:val="21"/>
              </w:rPr>
              <w:t>保修期满后，由投标</w:t>
            </w:r>
            <w:r>
              <w:rPr>
                <w:rFonts w:hint="eastAsia" w:ascii="宋体" w:hAnsi="宋体" w:eastAsia="宋体" w:cs="宋体"/>
                <w:color w:val="FF0000"/>
                <w:sz w:val="21"/>
                <w:szCs w:val="21"/>
                <w:lang w:eastAsia="zh-CN"/>
              </w:rPr>
              <w:t>人</w:t>
            </w:r>
            <w:r>
              <w:rPr>
                <w:rFonts w:hint="eastAsia" w:ascii="宋体" w:hAnsi="宋体" w:eastAsia="宋体" w:cs="宋体"/>
                <w:color w:val="FF0000"/>
                <w:sz w:val="21"/>
                <w:szCs w:val="21"/>
              </w:rPr>
              <w:t>提出申请，</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在一个月内无息付清5%质保金。</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1" w:name="_Toc18222"/>
      <w:r>
        <w:rPr>
          <w:rFonts w:hint="eastAsia" w:hAnsi="宋体"/>
          <w:b/>
          <w:color w:val="auto"/>
          <w:highlight w:val="none"/>
          <w:lang w:val="en-US" w:eastAsia="zh-CN"/>
        </w:rPr>
        <w:t>七．</w:t>
      </w:r>
      <w:r>
        <w:rPr>
          <w:rFonts w:hint="eastAsia" w:hAnsi="宋体"/>
          <w:b/>
          <w:color w:val="auto"/>
          <w:highlight w:val="none"/>
        </w:rPr>
        <w:t>综合评分表</w:t>
      </w:r>
      <w:bookmarkEnd w:id="1"/>
    </w:p>
    <w:tbl>
      <w:tblPr>
        <w:tblStyle w:val="54"/>
        <w:tblW w:w="93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4"/>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84"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84"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84" w:type="dxa"/>
            <w:tcBorders>
              <w:top w:val="single" w:color="auto" w:sz="8" w:space="0"/>
              <w:left w:val="single" w:color="auto" w:sz="8" w:space="0"/>
              <w:bottom w:val="single" w:color="auto" w:sz="4" w:space="0"/>
              <w:right w:val="single" w:color="auto" w:sz="8" w:space="0"/>
            </w:tcBorders>
            <w:vAlign w:val="center"/>
          </w:tcPr>
          <w:p>
            <w:pPr>
              <w:pStyle w:val="295"/>
              <w:numPr>
                <w:ilvl w:val="0"/>
                <w:numId w:val="4"/>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4</w:t>
            </w:r>
            <w:r>
              <w:rPr>
                <w:rFonts w:hint="eastAsia"/>
                <w:color w:val="auto"/>
                <w:highlight w:val="none"/>
              </w:rPr>
              <w:t>分，其余一般参数每负偏离一项扣</w:t>
            </w:r>
            <w:r>
              <w:rPr>
                <w:rFonts w:hint="eastAsia"/>
                <w:color w:val="auto"/>
                <w:highlight w:val="none"/>
                <w:lang w:val="en-US" w:eastAsia="zh-CN"/>
              </w:rPr>
              <w:t>2</w:t>
            </w:r>
            <w:r>
              <w:rPr>
                <w:rFonts w:hint="eastAsia"/>
                <w:color w:val="auto"/>
                <w:highlight w:val="none"/>
              </w:rPr>
              <w:t>分。</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84"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w:t>
            </w:r>
            <w:bookmarkStart w:id="2" w:name="_GoBack"/>
            <w:bookmarkEnd w:id="2"/>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84"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84"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84"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84"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84"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rFonts w:ascii="黑体" w:hAnsi="宋体" w:eastAsia="黑体" w:cs="宋体"/>
          <w:color w:val="auto"/>
          <w:sz w:val="28"/>
          <w:szCs w:val="28"/>
          <w:highlight w:val="none"/>
        </w:rPr>
      </w:pPr>
      <w:r>
        <w:rPr>
          <w:rFonts w:ascii="黑体" w:hAnsi="宋体" w:eastAsia="黑体" w:cs="宋体"/>
          <w:color w:val="auto"/>
          <w:sz w:val="28"/>
          <w:szCs w:val="28"/>
          <w:highlight w:val="none"/>
        </w:rPr>
        <w:br w:type="page"/>
      </w:r>
    </w:p>
    <w:bookmarkEnd w:id="0"/>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AF43E366"/>
    <w:multiLevelType w:val="singleLevel"/>
    <w:tmpl w:val="AF43E366"/>
    <w:lvl w:ilvl="0" w:tentative="0">
      <w:start w:val="4"/>
      <w:numFmt w:val="chineseCounting"/>
      <w:suff w:val="nothing"/>
      <w:lvlText w:val="%1、"/>
      <w:lvlJc w:val="left"/>
      <w:rPr>
        <w:rFonts w:hint="eastAsia"/>
      </w:rPr>
    </w:lvl>
  </w:abstractNum>
  <w:abstractNum w:abstractNumId="2">
    <w:nsid w:val="4DE4DB78"/>
    <w:multiLevelType w:val="singleLevel"/>
    <w:tmpl w:val="4DE4DB78"/>
    <w:lvl w:ilvl="0" w:tentative="0">
      <w:start w:val="5"/>
      <w:numFmt w:val="chineseCounting"/>
      <w:suff w:val="nothing"/>
      <w:lvlText w:val="%1．"/>
      <w:lvlJc w:val="left"/>
      <w:rPr>
        <w:rFonts w:hint="eastAsia"/>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72A"/>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4994930"/>
    <w:rsid w:val="0AD31734"/>
    <w:rsid w:val="0C68135C"/>
    <w:rsid w:val="0CF12A24"/>
    <w:rsid w:val="0FB06823"/>
    <w:rsid w:val="12336FD5"/>
    <w:rsid w:val="12BE47D5"/>
    <w:rsid w:val="13AB1E25"/>
    <w:rsid w:val="13BE4524"/>
    <w:rsid w:val="149A5357"/>
    <w:rsid w:val="17BB77D2"/>
    <w:rsid w:val="17C07807"/>
    <w:rsid w:val="1A180936"/>
    <w:rsid w:val="1A807061"/>
    <w:rsid w:val="1B872F7D"/>
    <w:rsid w:val="1D2B2FE6"/>
    <w:rsid w:val="1D77660D"/>
    <w:rsid w:val="1F28189D"/>
    <w:rsid w:val="20C13A8E"/>
    <w:rsid w:val="21A73358"/>
    <w:rsid w:val="277F783D"/>
    <w:rsid w:val="2F09169F"/>
    <w:rsid w:val="2F67542B"/>
    <w:rsid w:val="313949D1"/>
    <w:rsid w:val="33736D71"/>
    <w:rsid w:val="36737028"/>
    <w:rsid w:val="36BB6EA2"/>
    <w:rsid w:val="3A3E6DE3"/>
    <w:rsid w:val="3ACD1190"/>
    <w:rsid w:val="3BEB050A"/>
    <w:rsid w:val="40D16354"/>
    <w:rsid w:val="41153A42"/>
    <w:rsid w:val="426732B1"/>
    <w:rsid w:val="452308D7"/>
    <w:rsid w:val="464461E5"/>
    <w:rsid w:val="49C83D72"/>
    <w:rsid w:val="4E7C753F"/>
    <w:rsid w:val="5042725F"/>
    <w:rsid w:val="505134AB"/>
    <w:rsid w:val="50E10ECD"/>
    <w:rsid w:val="51EA72D5"/>
    <w:rsid w:val="52B9434F"/>
    <w:rsid w:val="533F0479"/>
    <w:rsid w:val="577D1455"/>
    <w:rsid w:val="57E55E07"/>
    <w:rsid w:val="598E0A22"/>
    <w:rsid w:val="5D6B104C"/>
    <w:rsid w:val="5EB631EE"/>
    <w:rsid w:val="5EBA1DB1"/>
    <w:rsid w:val="6010702F"/>
    <w:rsid w:val="6056405A"/>
    <w:rsid w:val="61202D75"/>
    <w:rsid w:val="631753EB"/>
    <w:rsid w:val="6405305E"/>
    <w:rsid w:val="65147B6C"/>
    <w:rsid w:val="660974AA"/>
    <w:rsid w:val="6945228B"/>
    <w:rsid w:val="6C9705C3"/>
    <w:rsid w:val="6CC81DB0"/>
    <w:rsid w:val="6DD92DCD"/>
    <w:rsid w:val="6E887300"/>
    <w:rsid w:val="6F0027AD"/>
    <w:rsid w:val="6F743592"/>
    <w:rsid w:val="71585AAE"/>
    <w:rsid w:val="734A01E7"/>
    <w:rsid w:val="75D6149F"/>
    <w:rsid w:val="77055E86"/>
    <w:rsid w:val="79EF46A6"/>
    <w:rsid w:val="7EDB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1"/>
    <w:next w:val="1"/>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25</TotalTime>
  <ScaleCrop>false</ScaleCrop>
  <LinksUpToDate>false</LinksUpToDate>
  <CharactersWithSpaces>3863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2021-09-27T07:25:37Z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E22BEC2B936C4010A7F6E8FB25048227</vt:lpwstr>
  </property>
</Properties>
</file>