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60" w:type="dxa"/>
        <w:tblInd w:w="0" w:type="dxa"/>
        <w:tblLayout w:type="fixed"/>
        <w:tblCellMar>
          <w:top w:w="0" w:type="dxa"/>
          <w:left w:w="108" w:type="dxa"/>
          <w:bottom w:w="0" w:type="dxa"/>
          <w:right w:w="108" w:type="dxa"/>
        </w:tblCellMar>
      </w:tblPr>
      <w:tblGrid>
        <w:gridCol w:w="1951"/>
        <w:gridCol w:w="709"/>
        <w:gridCol w:w="1559"/>
        <w:gridCol w:w="8080"/>
        <w:gridCol w:w="1134"/>
        <w:gridCol w:w="727"/>
      </w:tblGrid>
      <w:tr>
        <w:tblPrEx>
          <w:tblCellMar>
            <w:top w:w="0" w:type="dxa"/>
            <w:left w:w="108" w:type="dxa"/>
            <w:bottom w:w="0" w:type="dxa"/>
            <w:right w:w="108" w:type="dxa"/>
          </w:tblCellMar>
        </w:tblPrEx>
        <w:trPr>
          <w:trHeight w:val="458" w:hRule="atLeast"/>
        </w:trPr>
        <w:tc>
          <w:tcPr>
            <w:tcW w:w="14160" w:type="dxa"/>
            <w:gridSpan w:val="6"/>
            <w:tcBorders>
              <w:top w:val="nil"/>
              <w:left w:val="nil"/>
              <w:bottom w:val="nil"/>
              <w:right w:val="nil"/>
            </w:tcBorders>
            <w:shd w:val="clear" w:color="FFFFFF" w:fill="FFFFFF"/>
          </w:tcPr>
          <w:p>
            <w:pPr>
              <w:widowControl/>
              <w:jc w:val="center"/>
              <w:rPr>
                <w:rFonts w:hint="eastAsia" w:ascii="宋体" w:hAnsi="宋体" w:cs="宋体" w:eastAsiaTheme="minorEastAsia"/>
                <w:b/>
                <w:bCs/>
                <w:color w:val="000000"/>
                <w:kern w:val="0"/>
                <w:sz w:val="30"/>
                <w:szCs w:val="30"/>
                <w:lang w:val="en-US" w:eastAsia="zh-CN"/>
              </w:rPr>
            </w:pPr>
            <w:r>
              <w:rPr>
                <w:rFonts w:hint="eastAsia" w:ascii="宋体" w:hAnsi="宋体" w:cs="宋体"/>
                <w:b/>
                <w:bCs/>
                <w:color w:val="000000"/>
                <w:kern w:val="0"/>
                <w:sz w:val="30"/>
                <w:szCs w:val="30"/>
              </w:rPr>
              <w:t>2021年度南方科技大学医院政府采购意向公开表</w:t>
            </w:r>
            <w:r>
              <w:rPr>
                <w:rFonts w:hint="eastAsia" w:ascii="宋体" w:hAnsi="宋体" w:cs="宋体"/>
                <w:b/>
                <w:bCs/>
                <w:color w:val="000000"/>
                <w:kern w:val="0"/>
                <w:sz w:val="30"/>
                <w:szCs w:val="30"/>
                <w:lang w:eastAsia="zh-CN"/>
              </w:rPr>
              <w:t>（二）</w:t>
            </w:r>
          </w:p>
        </w:tc>
      </w:tr>
      <w:tr>
        <w:tblPrEx>
          <w:tblCellMar>
            <w:top w:w="0" w:type="dxa"/>
            <w:left w:w="108" w:type="dxa"/>
            <w:bottom w:w="0" w:type="dxa"/>
            <w:right w:w="108" w:type="dxa"/>
          </w:tblCellMar>
        </w:tblPrEx>
        <w:trPr>
          <w:trHeight w:val="300" w:hRule="atLeast"/>
        </w:trPr>
        <w:tc>
          <w:tcPr>
            <w:tcW w:w="14160" w:type="dxa"/>
            <w:gridSpan w:val="6"/>
            <w:tcBorders>
              <w:top w:val="nil"/>
              <w:left w:val="nil"/>
              <w:bottom w:val="single" w:color="auto" w:sz="4" w:space="0"/>
              <w:right w:val="nil"/>
            </w:tcBorders>
            <w:shd w:val="clear" w:color="FFFFFF" w:fill="FFFFFF"/>
            <w:vAlign w:val="center"/>
          </w:tcPr>
          <w:p>
            <w:pPr>
              <w:widowControl/>
              <w:ind w:right="200"/>
              <w:rPr>
                <w:rFonts w:ascii="宋体" w:hAnsi="宋体" w:cs="宋体"/>
                <w:color w:val="000000"/>
                <w:kern w:val="0"/>
                <w:szCs w:val="21"/>
              </w:rPr>
            </w:pPr>
            <w:r>
              <w:rPr>
                <w:rFonts w:hint="eastAsia" w:ascii="宋体" w:hAnsi="宋体" w:cs="宋体"/>
                <w:color w:val="000000"/>
                <w:kern w:val="0"/>
                <w:szCs w:val="21"/>
              </w:rPr>
              <w:t>单位名称：南方科技大学医院                                                                                  单位：万元</w:t>
            </w:r>
          </w:p>
        </w:tc>
      </w:tr>
      <w:tr>
        <w:tblPrEx>
          <w:tblCellMar>
            <w:top w:w="0" w:type="dxa"/>
            <w:left w:w="108" w:type="dxa"/>
            <w:bottom w:w="0" w:type="dxa"/>
            <w:right w:w="108" w:type="dxa"/>
          </w:tblCellMar>
        </w:tblPrEx>
        <w:trPr>
          <w:trHeight w:val="300" w:hRule="atLeast"/>
        </w:trPr>
        <w:tc>
          <w:tcPr>
            <w:tcW w:w="19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部门名称</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预计采购时间</w:t>
            </w:r>
          </w:p>
        </w:tc>
        <w:tc>
          <w:tcPr>
            <w:tcW w:w="808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采购需求概况</w:t>
            </w:r>
          </w:p>
        </w:tc>
        <w:tc>
          <w:tcPr>
            <w:tcW w:w="113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采购项目预算金额</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bookmarkStart w:id="0" w:name="_GoBack" w:colFirst="2" w:colLast="2"/>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连续性血液净化设备2</w:t>
            </w:r>
            <w:r>
              <w:rPr>
                <w:rFonts w:hint="eastAsia" w:ascii="宋体" w:hAnsi="宋体" w:eastAsia="宋体" w:cs="宋体"/>
                <w:color w:val="000000"/>
                <w:kern w:val="0"/>
                <w:szCs w:val="21"/>
                <w:lang w:eastAsia="zh-CN"/>
              </w:rPr>
              <w:t>台；</w:t>
            </w:r>
            <w:r>
              <w:rPr>
                <w:rFonts w:hint="eastAsia" w:ascii="宋体" w:hAnsi="宋体" w:eastAsia="宋体" w:cs="宋体"/>
                <w:color w:val="000000"/>
                <w:kern w:val="0"/>
                <w:szCs w:val="21"/>
              </w:rPr>
              <w:t>用于临床危重症患者的抢救和治疗中的1、血液净化治疗，2、肾替代治疗，3、血浆置换以及各种急慢性中毒患者的血液灌流，</w:t>
            </w:r>
            <w:r>
              <w:rPr>
                <w:rFonts w:hint="eastAsia" w:ascii="宋体" w:hAnsi="宋体" w:eastAsia="宋体" w:cs="宋体"/>
                <w:color w:val="000000"/>
                <w:kern w:val="0"/>
                <w:szCs w:val="21"/>
                <w:lang w:val="en-US" w:eastAsia="zh-CN"/>
              </w:rPr>
              <w:t>4。白血病化疗过程中的肿瘤溶解综合征及移植相关并发症。</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79.8</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等离子空气消毒机</w:t>
            </w:r>
            <w:r>
              <w:rPr>
                <w:rFonts w:hint="eastAsia" w:ascii="宋体" w:hAnsi="宋体" w:eastAsia="宋体" w:cs="宋体"/>
                <w:color w:val="000000"/>
                <w:kern w:val="0"/>
                <w:szCs w:val="21"/>
                <w:lang w:val="en-US" w:eastAsia="zh-CN"/>
              </w:rPr>
              <w:t>3台；提供开展造血干细胞移植、细胞免疫治疗、重型再生障碍性贫血提供无菌环境。</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180</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血液成分分离机</w:t>
            </w:r>
            <w:r>
              <w:rPr>
                <w:rFonts w:hint="eastAsia" w:ascii="宋体" w:hAnsi="宋体" w:eastAsia="宋体" w:cs="宋体"/>
                <w:color w:val="000000"/>
                <w:kern w:val="0"/>
                <w:szCs w:val="21"/>
                <w:lang w:val="en-US" w:eastAsia="zh-CN"/>
              </w:rPr>
              <w:t>1台；</w:t>
            </w:r>
            <w:r>
              <w:rPr>
                <w:rFonts w:hint="eastAsia" w:ascii="宋体" w:hAnsi="宋体" w:eastAsia="宋体" w:cs="宋体"/>
                <w:color w:val="000000"/>
                <w:kern w:val="0"/>
                <w:szCs w:val="21"/>
              </w:rPr>
              <w:t>血浆置换治</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干细胞单采、淋巴细胞及中性粒细胞单采。及</w:t>
            </w:r>
            <w:r>
              <w:rPr>
                <w:rFonts w:hint="eastAsia" w:ascii="宋体" w:hAnsi="宋体" w:eastAsia="宋体" w:cs="宋体"/>
                <w:color w:val="000000"/>
                <w:kern w:val="0"/>
                <w:szCs w:val="21"/>
              </w:rPr>
              <w:t>祛除</w:t>
            </w:r>
            <w:r>
              <w:rPr>
                <w:rFonts w:hint="eastAsia" w:ascii="宋体" w:hAnsi="宋体" w:eastAsia="宋体" w:cs="宋体"/>
                <w:color w:val="000000"/>
                <w:kern w:val="0"/>
                <w:szCs w:val="21"/>
                <w:lang w:val="en-US" w:eastAsia="zh-CN"/>
              </w:rPr>
              <w:t>白细胞及血小板、重症溶血性贫血及造血干细胞移植相关并发症</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63</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中央监护系统</w:t>
            </w:r>
            <w:r>
              <w:rPr>
                <w:rFonts w:hint="eastAsia" w:ascii="宋体" w:hAnsi="宋体" w:eastAsia="宋体" w:cs="宋体"/>
                <w:color w:val="000000"/>
                <w:kern w:val="0"/>
                <w:szCs w:val="21"/>
                <w:lang w:val="en-US" w:eastAsia="zh-CN"/>
              </w:rPr>
              <w:t>1套；</w:t>
            </w:r>
            <w:r>
              <w:rPr>
                <w:rFonts w:hint="eastAsia" w:ascii="宋体" w:hAnsi="宋体" w:eastAsia="宋体" w:cs="宋体"/>
                <w:color w:val="000000"/>
                <w:kern w:val="0"/>
                <w:szCs w:val="21"/>
              </w:rPr>
              <w:t>配备一个中央信息系统</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用于监测骨髓移植病人术</w:t>
            </w:r>
            <w:r>
              <w:rPr>
                <w:rFonts w:hint="eastAsia" w:ascii="宋体" w:hAnsi="宋体" w:eastAsia="宋体" w:cs="宋体"/>
                <w:color w:val="000000"/>
                <w:kern w:val="0"/>
                <w:szCs w:val="21"/>
                <w:lang w:val="en-US" w:eastAsia="zh-CN"/>
              </w:rPr>
              <w:t>前、</w:t>
            </w:r>
            <w:r>
              <w:rPr>
                <w:rFonts w:hint="eastAsia" w:ascii="宋体" w:hAnsi="宋体" w:eastAsia="宋体" w:cs="宋体"/>
                <w:color w:val="000000"/>
                <w:kern w:val="0"/>
                <w:szCs w:val="21"/>
              </w:rPr>
              <w:t>术</w:t>
            </w:r>
            <w:r>
              <w:rPr>
                <w:rFonts w:hint="eastAsia" w:ascii="宋体" w:hAnsi="宋体" w:eastAsia="宋体" w:cs="宋体"/>
                <w:color w:val="000000"/>
                <w:kern w:val="0"/>
                <w:szCs w:val="21"/>
                <w:lang w:val="en-US" w:eastAsia="zh-CN"/>
              </w:rPr>
              <w:t>中及术</w:t>
            </w:r>
            <w:r>
              <w:rPr>
                <w:rFonts w:hint="eastAsia" w:ascii="宋体" w:hAnsi="宋体" w:eastAsia="宋体" w:cs="宋体"/>
                <w:color w:val="000000"/>
                <w:kern w:val="0"/>
                <w:szCs w:val="21"/>
              </w:rPr>
              <w:t>后的各项生理参数</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98</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骨髓医学图像分析系统+生物显微镜</w:t>
            </w:r>
            <w:r>
              <w:rPr>
                <w:rFonts w:hint="eastAsia" w:ascii="宋体" w:hAnsi="宋体" w:eastAsia="宋体" w:cs="宋体"/>
                <w:color w:val="000000"/>
                <w:kern w:val="0"/>
                <w:szCs w:val="21"/>
                <w:lang w:val="en-US" w:eastAsia="zh-CN"/>
              </w:rPr>
              <w:t>3套；用于</w:t>
            </w:r>
            <w:r>
              <w:rPr>
                <w:rFonts w:hint="eastAsia" w:ascii="宋体" w:hAnsi="宋体" w:eastAsia="宋体" w:cs="宋体"/>
                <w:color w:val="000000"/>
                <w:kern w:val="0"/>
                <w:szCs w:val="21"/>
              </w:rPr>
              <w:t>骨髓细胞学诊断、外周血图像分析、脑脊液、胸腹水、脱落细胞等项目，以及可拓展开展流式细胞学等科研项目</w:t>
            </w:r>
            <w:r>
              <w:rPr>
                <w:rFonts w:hint="eastAsia" w:ascii="宋体" w:hAnsi="宋体" w:eastAsia="宋体" w:cs="宋体"/>
                <w:color w:val="000000"/>
                <w:kern w:val="0"/>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89.7</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流式细胞仪</w:t>
            </w:r>
            <w:r>
              <w:rPr>
                <w:rFonts w:hint="eastAsia" w:ascii="宋体" w:hAnsi="宋体" w:eastAsia="宋体" w:cs="宋体"/>
                <w:color w:val="000000"/>
                <w:kern w:val="0"/>
                <w:szCs w:val="21"/>
                <w:lang w:val="en-US" w:eastAsia="zh-CN"/>
              </w:rPr>
              <w:t>1台；</w:t>
            </w:r>
            <w:r>
              <w:rPr>
                <w:rFonts w:hint="eastAsia" w:ascii="宋体" w:hAnsi="宋体" w:eastAsia="宋体" w:cs="宋体"/>
                <w:color w:val="000000"/>
                <w:kern w:val="0"/>
                <w:szCs w:val="21"/>
              </w:rPr>
              <w:t>急慢性白血病、多发性骨髓瘤等免疫表型检测、造血干细胞移植CD34细胞计数及科研。</w:t>
            </w:r>
            <w:r>
              <w:rPr>
                <w:rFonts w:hint="eastAsia" w:ascii="宋体" w:hAnsi="宋体" w:eastAsia="宋体" w:cs="宋体"/>
                <w:color w:val="000000"/>
                <w:kern w:val="0"/>
                <w:szCs w:val="21"/>
                <w:lang w:val="en-US" w:eastAsia="zh-CN"/>
              </w:rPr>
              <w:t>用于恶性血液病的动态疾病检测，造血干细胞计数，辅助性T细胞亚群TH1、TH2细胞计数，PNH等</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150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themeColor="text1"/>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rPr>
            </w:pPr>
            <w:r>
              <w:rPr>
                <w:rFonts w:hint="eastAsia" w:ascii="宋体" w:hAnsi="宋体" w:eastAsia="宋体" w:cs="宋体"/>
                <w:color w:val="000000"/>
                <w:kern w:val="0"/>
                <w:szCs w:val="21"/>
              </w:rPr>
              <w:t>组合式创伤/关节动力系统2套；适用于创伤或关节疾病的检查和手术；人体骨骼进行切割、钻孔；手术中生物组织的切割和凝血。</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70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themeColor="text1"/>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rPr>
            </w:pPr>
            <w:r>
              <w:rPr>
                <w:rFonts w:hint="eastAsia" w:ascii="宋体" w:hAnsi="宋体" w:eastAsia="宋体" w:cs="宋体"/>
                <w:color w:val="000000"/>
                <w:kern w:val="0"/>
                <w:szCs w:val="21"/>
              </w:rPr>
              <w:t>高清关节镜系统1套；适用于检查关节腔内各种病变，治疗多种运动损伤，多种关节炎的诊断和治疗以及部分关节腔外疾病的治疗。</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220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移动式mini数字X线影像系统1套；主要用于骨科手术术中成像，尤其是足踝外科、手外科的术中成像。</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160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三维全身数字成像系统1套；适用于脊柱外科、关节外科、小儿骨科、运动医学科和康复科等科室诊治与随访。</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800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关节镜模拟训练系统1套；用于培训骨科手术技能，是骨科住院医师，实习医师，或低年资医师手术能力保持和提升，增强手术信心，减少手术失误的有效工具。</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250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椎间孔镜动力系统1套；适用于椎间孔镜治疗由于腰椎间盘突出压迫神经,导致腰痛、腰腿痛,行走受限,间歇性跛行等以及腰椎椎间盘源性腰痛等的动力辅助。</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60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玻切超乳一体机</w:t>
            </w:r>
            <w:r>
              <w:rPr>
                <w:rFonts w:hint="eastAsia" w:ascii="宋体" w:hAnsi="宋体" w:eastAsia="宋体" w:cs="宋体"/>
                <w:color w:val="000000"/>
                <w:kern w:val="0"/>
                <w:szCs w:val="21"/>
                <w:lang w:val="en-US" w:eastAsia="zh-CN"/>
              </w:rPr>
              <w:t>1台；</w:t>
            </w:r>
            <w:r>
              <w:rPr>
                <w:rFonts w:hint="eastAsia" w:ascii="宋体" w:hAnsi="宋体" w:eastAsia="宋体" w:cs="宋体"/>
                <w:color w:val="000000"/>
                <w:kern w:val="0"/>
                <w:szCs w:val="21"/>
                <w:lang w:eastAsia="zh-CN"/>
              </w:rPr>
              <w:t>用于眼前节和眼后节手术，可进行玻璃体和组织切割，晶状体乳化，眼后节照明及电凝。</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ascii="宋体" w:hAnsi="宋体" w:eastAsia="宋体" w:cs="宋体"/>
                <w:szCs w:val="21"/>
              </w:rPr>
            </w:pPr>
            <w:r>
              <w:rPr>
                <w:rFonts w:hint="eastAsia" w:ascii="宋体" w:hAnsi="宋体" w:eastAsia="宋体" w:cs="宋体"/>
                <w:szCs w:val="21"/>
              </w:rPr>
              <w:t>150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病理全流程质控信息管理系统+激光包埋盒玻片打号一体机</w:t>
            </w:r>
            <w:r>
              <w:rPr>
                <w:rFonts w:hint="eastAsia" w:ascii="宋体" w:hAnsi="宋体" w:eastAsia="宋体" w:cs="宋体"/>
                <w:color w:val="000000"/>
                <w:kern w:val="0"/>
                <w:szCs w:val="21"/>
                <w:lang w:val="en-US" w:eastAsia="zh-CN"/>
              </w:rPr>
              <w:t>1套；</w:t>
            </w:r>
            <w:r>
              <w:rPr>
                <w:rFonts w:hint="eastAsia" w:ascii="宋体" w:hAnsi="宋体" w:eastAsia="宋体" w:cs="宋体"/>
                <w:color w:val="000000"/>
                <w:kern w:val="0"/>
                <w:szCs w:val="21"/>
              </w:rPr>
              <w:t>用于1.病理科信息化系统--全流程质控信息化管理。2、病理科激光包埋盒及玻片打号。</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60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健康体检车（含车载DR机）</w:t>
            </w:r>
            <w:r>
              <w:rPr>
                <w:rFonts w:hint="eastAsia" w:ascii="宋体" w:hAnsi="宋体" w:eastAsia="宋体" w:cs="宋体"/>
                <w:color w:val="000000"/>
                <w:kern w:val="0"/>
                <w:szCs w:val="21"/>
                <w:lang w:val="en-US" w:eastAsia="zh-CN"/>
              </w:rPr>
              <w:t>1台；需满足常规健康体检，同时在车内可开展听力检查、心电图、采血等多项医疗服务。</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cs="Times New Roman"/>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便携式彩色多普勒超声诊断仪（床旁应用型）</w:t>
            </w:r>
            <w:r>
              <w:rPr>
                <w:rFonts w:hint="eastAsia" w:ascii="宋体" w:hAnsi="宋体" w:eastAsia="宋体" w:cs="宋体"/>
                <w:color w:val="000000"/>
                <w:kern w:val="0"/>
                <w:szCs w:val="21"/>
                <w:lang w:val="en-US" w:eastAsia="zh-CN"/>
              </w:rPr>
              <w:t>1台；</w:t>
            </w:r>
            <w:r>
              <w:rPr>
                <w:rFonts w:hint="eastAsia" w:ascii="宋体" w:hAnsi="宋体" w:eastAsia="宋体" w:cs="宋体"/>
                <w:color w:val="000000"/>
                <w:kern w:val="0"/>
                <w:szCs w:val="21"/>
              </w:rPr>
              <w:t>可用于急诊、床旁超声检查体检，进行全身各脏器的超声检查，相关应用软件也可用于超声临床诊断应用。</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50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cs="Times New Roman"/>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彩色多普勒超声诊断仪（全身应用型）</w:t>
            </w:r>
            <w:r>
              <w:rPr>
                <w:rFonts w:hint="eastAsia" w:ascii="宋体" w:hAnsi="宋体" w:eastAsia="宋体" w:cs="宋体"/>
                <w:color w:val="000000"/>
                <w:kern w:val="0"/>
                <w:szCs w:val="21"/>
                <w:lang w:val="en-US" w:eastAsia="zh-CN"/>
              </w:rPr>
              <w:t>1台；</w:t>
            </w:r>
            <w:r>
              <w:rPr>
                <w:rFonts w:hint="eastAsia" w:ascii="宋体" w:hAnsi="宋体" w:eastAsia="宋体" w:cs="宋体"/>
                <w:color w:val="000000"/>
                <w:kern w:val="0"/>
                <w:szCs w:val="21"/>
              </w:rPr>
              <w:t>可用于特诊部超声体检，进行全身各脏器的超声检查，相关应用软件也可用于超声临床诊断应用。</w:t>
            </w:r>
          </w:p>
          <w:p>
            <w:pPr>
              <w:widowControl/>
              <w:jc w:val="left"/>
              <w:rPr>
                <w:rFonts w:hint="eastAsia" w:ascii="宋体" w:hAnsi="宋体" w:eastAsia="宋体" w:cs="宋体"/>
                <w:color w:val="000000"/>
                <w:kern w:val="0"/>
                <w:szCs w:val="21"/>
                <w:lang w:val="en-US" w:eastAsia="zh-CN"/>
              </w:rPr>
            </w:pP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120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455"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cstheme="minorBidi"/>
                <w:kern w:val="2"/>
                <w:sz w:val="21"/>
                <w:szCs w:val="21"/>
                <w:lang w:val="en-US" w:eastAsia="zh-CN" w:bidi="ar-SA"/>
              </w:rPr>
            </w:pPr>
            <w:r>
              <w:rPr>
                <w:rFonts w:ascii="Times New Roman" w:hAnsi="Times New Roman" w:cs="Times New Roman"/>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高端四维彩色多普勒超声诊断仪（造影穿刺应用型）1台；可用于门诊及住院患者全身各脏器的超声检查，可对患者肝脏、甲状腺、乳腺、心脏、血管等脏器进行超声造影检查，相关应用软件也可用于超声临床诊断应用、细胞穿刺活检、介入治疗引导和科</w:t>
            </w:r>
            <w:r>
              <w:rPr>
                <w:rFonts w:hint="eastAsia" w:ascii="宋体" w:hAnsi="宋体" w:eastAsia="宋体" w:cs="宋体"/>
                <w:color w:val="000000"/>
                <w:kern w:val="0"/>
                <w:szCs w:val="21"/>
              </w:rPr>
              <w:t>研用途。</w:t>
            </w:r>
          </w:p>
          <w:p>
            <w:pPr>
              <w:widowControl/>
              <w:jc w:val="left"/>
              <w:rPr>
                <w:rFonts w:hint="default" w:ascii="宋体" w:hAnsi="宋体" w:eastAsia="宋体" w:cs="宋体"/>
                <w:color w:val="000000"/>
                <w:kern w:val="0"/>
                <w:szCs w:val="21"/>
                <w:lang w:val="en-US" w:eastAsia="zh-CN"/>
              </w:rPr>
            </w:pP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血管内皮功能检测仪</w:t>
            </w:r>
            <w:r>
              <w:rPr>
                <w:rFonts w:hint="eastAsia" w:ascii="宋体" w:hAnsi="宋体" w:eastAsia="宋体" w:cs="宋体"/>
                <w:color w:val="000000"/>
                <w:kern w:val="0"/>
                <w:szCs w:val="21"/>
                <w:lang w:val="en-US" w:eastAsia="zh-CN"/>
              </w:rPr>
              <w:t>1台；</w:t>
            </w:r>
            <w:r>
              <w:rPr>
                <w:rFonts w:hint="eastAsia" w:ascii="宋体" w:hAnsi="宋体" w:eastAsia="宋体" w:cs="宋体"/>
                <w:color w:val="000000"/>
                <w:kern w:val="0"/>
                <w:szCs w:val="21"/>
              </w:rPr>
              <w:t>利用超声原理测量肱动脉血管内皮功能，采用高分辨率探头，具有自动定位等技术，确保检测结果具有良好的性和可重复性。</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125</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胰岛素泵</w:t>
            </w:r>
            <w:r>
              <w:rPr>
                <w:rFonts w:hint="eastAsia" w:ascii="宋体" w:hAnsi="宋体" w:eastAsia="宋体" w:cs="宋体"/>
                <w:color w:val="000000"/>
                <w:kern w:val="0"/>
                <w:szCs w:val="21"/>
                <w:lang w:val="en-US" w:eastAsia="zh-CN"/>
              </w:rPr>
              <w:t>15台；</w:t>
            </w:r>
            <w:r>
              <w:rPr>
                <w:rFonts w:hint="eastAsia" w:ascii="宋体" w:hAnsi="宋体" w:eastAsia="宋体" w:cs="宋体"/>
                <w:color w:val="000000"/>
                <w:kern w:val="0"/>
                <w:szCs w:val="21"/>
              </w:rPr>
              <w:t>胰岛素泵模拟胰腺的分泌功能，按照使用者编定的程序将所需剂量的胰岛素持续地推注。</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ascii="宋体" w:hAnsi="宋体" w:eastAsia="宋体" w:cs="宋体"/>
                <w:szCs w:val="21"/>
              </w:rPr>
            </w:pPr>
            <w:r>
              <w:rPr>
                <w:rFonts w:hint="eastAsia" w:ascii="宋体" w:hAnsi="宋体" w:eastAsia="宋体" w:cs="宋体"/>
                <w:szCs w:val="21"/>
              </w:rPr>
              <w:t>51.3</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cstheme="minorBidi"/>
                <w:kern w:val="2"/>
                <w:sz w:val="21"/>
                <w:szCs w:val="21"/>
                <w:lang w:val="en-US" w:eastAsia="zh-CN" w:bidi="ar-SA"/>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血液透析机及血液透析滤过机</w:t>
            </w:r>
            <w:r>
              <w:rPr>
                <w:rFonts w:hint="eastAsia" w:ascii="宋体" w:hAnsi="宋体" w:eastAsia="宋体" w:cs="宋体"/>
                <w:color w:val="000000"/>
                <w:kern w:val="0"/>
                <w:szCs w:val="21"/>
                <w:lang w:val="en-US" w:eastAsia="zh-CN"/>
              </w:rPr>
              <w:t>6台；</w:t>
            </w:r>
            <w:r>
              <w:rPr>
                <w:rFonts w:hint="eastAsia" w:ascii="宋体" w:hAnsi="宋体" w:eastAsia="宋体" w:cs="宋体"/>
                <w:color w:val="000000"/>
                <w:kern w:val="0"/>
                <w:szCs w:val="21"/>
              </w:rPr>
              <w:t>用于急慢性肾功能衰竭的肾脏替代治疗及药物中毒、急性呼吸宭迫综合征等急重症的抢救。</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eastAsia" w:ascii="宋体" w:hAnsi="宋体" w:eastAsia="宋体" w:cs="宋体"/>
                <w:szCs w:val="21"/>
              </w:rPr>
            </w:pPr>
            <w:r>
              <w:rPr>
                <w:rFonts w:hint="eastAsia" w:ascii="宋体" w:hAnsi="宋体" w:eastAsia="宋体" w:cs="宋体"/>
                <w:szCs w:val="21"/>
              </w:rPr>
              <w:t>127.5</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bookmarkEnd w:id="0"/>
      <w:tr>
        <w:tblPrEx>
          <w:tblCellMar>
            <w:top w:w="0" w:type="dxa"/>
            <w:left w:w="108" w:type="dxa"/>
            <w:bottom w:w="0" w:type="dxa"/>
            <w:right w:w="108" w:type="dxa"/>
          </w:tblCellMar>
        </w:tblPrEx>
        <w:trPr>
          <w:trHeight w:val="300" w:hRule="atLeast"/>
        </w:trPr>
        <w:tc>
          <w:tcPr>
            <w:tcW w:w="14160" w:type="dxa"/>
            <w:gridSpan w:val="6"/>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采购单位咨询电话：0755-26999537，联系人：郑宝顾</w:t>
            </w:r>
          </w:p>
        </w:tc>
      </w:tr>
    </w:tbl>
    <w:p>
      <w:pPr>
        <w:widowControl/>
        <w:ind w:left="600" w:hanging="600" w:hangingChars="300"/>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服务采购项目，不包括以电商采购、预选采购、定点采购、网上竞价等方式实施的小额零星采购和由集中采购机构统一组织的批量集中采购项目等。</w:t>
      </w:r>
    </w:p>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ind w:firstLine="400" w:firstLineChars="200"/>
      </w:pPr>
      <w:r>
        <w:rPr>
          <w:rFonts w:hint="eastAsia" w:ascii="宋体" w:hAnsi="宋体" w:cs="宋体"/>
          <w:color w:val="000000"/>
          <w:kern w:val="0"/>
          <w:sz w:val="20"/>
          <w:szCs w:val="20"/>
        </w:rPr>
        <w:t>3.长期货物、服务类项目可能延续上年合同的，应在备注栏注明。</w:t>
      </w:r>
    </w:p>
    <w:sectPr>
      <w:footerReference r:id="rId3" w:type="default"/>
      <w:footerReference r:id="rId4" w:type="even"/>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- 8 -</w:t>
                </w:r>
                <w:r>
                  <w:rPr>
                    <w:rStyle w:val="6"/>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15586F"/>
    <w:rsid w:val="00007945"/>
    <w:rsid w:val="00043171"/>
    <w:rsid w:val="00056890"/>
    <w:rsid w:val="00057680"/>
    <w:rsid w:val="00093E69"/>
    <w:rsid w:val="000953AC"/>
    <w:rsid w:val="000B24C4"/>
    <w:rsid w:val="000C528A"/>
    <w:rsid w:val="000D6485"/>
    <w:rsid w:val="000E28B3"/>
    <w:rsid w:val="000E2EDF"/>
    <w:rsid w:val="00103FDB"/>
    <w:rsid w:val="00105C4B"/>
    <w:rsid w:val="0013307B"/>
    <w:rsid w:val="001604F0"/>
    <w:rsid w:val="00163569"/>
    <w:rsid w:val="0018068A"/>
    <w:rsid w:val="00194030"/>
    <w:rsid w:val="00197E63"/>
    <w:rsid w:val="001B1BAC"/>
    <w:rsid w:val="001E762E"/>
    <w:rsid w:val="001F0C03"/>
    <w:rsid w:val="002040B0"/>
    <w:rsid w:val="0020645E"/>
    <w:rsid w:val="002169E0"/>
    <w:rsid w:val="00235692"/>
    <w:rsid w:val="002410AF"/>
    <w:rsid w:val="00252A74"/>
    <w:rsid w:val="0027183C"/>
    <w:rsid w:val="0028671B"/>
    <w:rsid w:val="002904F3"/>
    <w:rsid w:val="0029451E"/>
    <w:rsid w:val="002A2CDA"/>
    <w:rsid w:val="002B3ED3"/>
    <w:rsid w:val="00302360"/>
    <w:rsid w:val="00317912"/>
    <w:rsid w:val="00324943"/>
    <w:rsid w:val="0033478C"/>
    <w:rsid w:val="00370C35"/>
    <w:rsid w:val="00371CB2"/>
    <w:rsid w:val="00372F32"/>
    <w:rsid w:val="00381D8B"/>
    <w:rsid w:val="003A24FC"/>
    <w:rsid w:val="003B3BB2"/>
    <w:rsid w:val="003C4C50"/>
    <w:rsid w:val="003E06F4"/>
    <w:rsid w:val="003F6DF1"/>
    <w:rsid w:val="003F76B1"/>
    <w:rsid w:val="00437C2E"/>
    <w:rsid w:val="0047353C"/>
    <w:rsid w:val="00483B1E"/>
    <w:rsid w:val="00484779"/>
    <w:rsid w:val="004B718B"/>
    <w:rsid w:val="005157E3"/>
    <w:rsid w:val="005161E0"/>
    <w:rsid w:val="005321BE"/>
    <w:rsid w:val="0053523C"/>
    <w:rsid w:val="005723B3"/>
    <w:rsid w:val="005C3189"/>
    <w:rsid w:val="005D5F7B"/>
    <w:rsid w:val="00615C1A"/>
    <w:rsid w:val="00626ED6"/>
    <w:rsid w:val="00626F41"/>
    <w:rsid w:val="00671E7C"/>
    <w:rsid w:val="00674DD6"/>
    <w:rsid w:val="006871AD"/>
    <w:rsid w:val="006C4AB6"/>
    <w:rsid w:val="006D22F9"/>
    <w:rsid w:val="006F7A14"/>
    <w:rsid w:val="00725DC6"/>
    <w:rsid w:val="00760998"/>
    <w:rsid w:val="007705F0"/>
    <w:rsid w:val="007F6680"/>
    <w:rsid w:val="00803762"/>
    <w:rsid w:val="00835787"/>
    <w:rsid w:val="00846915"/>
    <w:rsid w:val="00860BE5"/>
    <w:rsid w:val="00881F9E"/>
    <w:rsid w:val="00892096"/>
    <w:rsid w:val="008D1D90"/>
    <w:rsid w:val="008D43BF"/>
    <w:rsid w:val="008E6E11"/>
    <w:rsid w:val="00917111"/>
    <w:rsid w:val="00925D43"/>
    <w:rsid w:val="009325B6"/>
    <w:rsid w:val="00941325"/>
    <w:rsid w:val="00951D46"/>
    <w:rsid w:val="009611DB"/>
    <w:rsid w:val="00966E49"/>
    <w:rsid w:val="00992D88"/>
    <w:rsid w:val="009A26F4"/>
    <w:rsid w:val="009A6901"/>
    <w:rsid w:val="009B113D"/>
    <w:rsid w:val="009B7B15"/>
    <w:rsid w:val="009E25D1"/>
    <w:rsid w:val="009F6BD2"/>
    <w:rsid w:val="00A35FBE"/>
    <w:rsid w:val="00A75CFC"/>
    <w:rsid w:val="00A86400"/>
    <w:rsid w:val="00AA2829"/>
    <w:rsid w:val="00AA377D"/>
    <w:rsid w:val="00AB7A56"/>
    <w:rsid w:val="00AD500F"/>
    <w:rsid w:val="00AE09F5"/>
    <w:rsid w:val="00AE29EE"/>
    <w:rsid w:val="00B73F3A"/>
    <w:rsid w:val="00BA4CE7"/>
    <w:rsid w:val="00BD0833"/>
    <w:rsid w:val="00BD3427"/>
    <w:rsid w:val="00BD6E70"/>
    <w:rsid w:val="00C014FE"/>
    <w:rsid w:val="00C2456C"/>
    <w:rsid w:val="00C73E02"/>
    <w:rsid w:val="00C9085C"/>
    <w:rsid w:val="00CB0826"/>
    <w:rsid w:val="00D11A14"/>
    <w:rsid w:val="00D32A74"/>
    <w:rsid w:val="00D62E7B"/>
    <w:rsid w:val="00DA4D0C"/>
    <w:rsid w:val="00DA6957"/>
    <w:rsid w:val="00DC126D"/>
    <w:rsid w:val="00DD5793"/>
    <w:rsid w:val="00DD5969"/>
    <w:rsid w:val="00DE2EFC"/>
    <w:rsid w:val="00E0132C"/>
    <w:rsid w:val="00E30BCF"/>
    <w:rsid w:val="00E33A2A"/>
    <w:rsid w:val="00E440D6"/>
    <w:rsid w:val="00E46CA0"/>
    <w:rsid w:val="00E64EEF"/>
    <w:rsid w:val="00E9022F"/>
    <w:rsid w:val="00E93C45"/>
    <w:rsid w:val="00EE6ED0"/>
    <w:rsid w:val="00EF19FA"/>
    <w:rsid w:val="00EF7FA0"/>
    <w:rsid w:val="00F15257"/>
    <w:rsid w:val="00F17DF9"/>
    <w:rsid w:val="00F218F3"/>
    <w:rsid w:val="00F21D5B"/>
    <w:rsid w:val="00F57BCE"/>
    <w:rsid w:val="00F801AA"/>
    <w:rsid w:val="00FC49D3"/>
    <w:rsid w:val="00FF6C4F"/>
    <w:rsid w:val="01435911"/>
    <w:rsid w:val="0F2C4275"/>
    <w:rsid w:val="11421DF3"/>
    <w:rsid w:val="141C31E8"/>
    <w:rsid w:val="14C72E84"/>
    <w:rsid w:val="15870759"/>
    <w:rsid w:val="1A274F3B"/>
    <w:rsid w:val="1C3C7BDC"/>
    <w:rsid w:val="249A2930"/>
    <w:rsid w:val="25375461"/>
    <w:rsid w:val="27D6091B"/>
    <w:rsid w:val="283C189B"/>
    <w:rsid w:val="29114E76"/>
    <w:rsid w:val="29D03456"/>
    <w:rsid w:val="2C5670D5"/>
    <w:rsid w:val="2F0121C5"/>
    <w:rsid w:val="329C6B79"/>
    <w:rsid w:val="38080F95"/>
    <w:rsid w:val="382C6424"/>
    <w:rsid w:val="39E55A2F"/>
    <w:rsid w:val="3C571411"/>
    <w:rsid w:val="3C575015"/>
    <w:rsid w:val="3FFF3B7C"/>
    <w:rsid w:val="42625CFF"/>
    <w:rsid w:val="44775444"/>
    <w:rsid w:val="4511166C"/>
    <w:rsid w:val="4615586F"/>
    <w:rsid w:val="467F1E3B"/>
    <w:rsid w:val="514040BD"/>
    <w:rsid w:val="578C7629"/>
    <w:rsid w:val="585C639D"/>
    <w:rsid w:val="587822C4"/>
    <w:rsid w:val="5E26261A"/>
    <w:rsid w:val="61F43341"/>
    <w:rsid w:val="64755BD0"/>
    <w:rsid w:val="6BFE3176"/>
    <w:rsid w:val="6C2D48C0"/>
    <w:rsid w:val="6D467588"/>
    <w:rsid w:val="6F63658B"/>
    <w:rsid w:val="720B18A4"/>
    <w:rsid w:val="7D456E2E"/>
    <w:rsid w:val="7D7809AA"/>
    <w:rsid w:val="7E67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Emphasis"/>
    <w:basedOn w:val="5"/>
    <w:qFormat/>
    <w:uiPriority w:val="20"/>
    <w:rPr>
      <w:i/>
      <w:iCs/>
    </w:rPr>
  </w:style>
  <w:style w:type="character" w:styleId="8">
    <w:name w:val="Hyperlink"/>
    <w:basedOn w:val="5"/>
    <w:qFormat/>
    <w:uiPriority w:val="0"/>
    <w:rPr>
      <w:color w:val="0000FF"/>
      <w:u w:val="single"/>
    </w:rPr>
  </w:style>
  <w:style w:type="paragraph" w:styleId="9">
    <w:name w:val="List Paragraph"/>
    <w:basedOn w:val="1"/>
    <w:qFormat/>
    <w:uiPriority w:val="34"/>
    <w:pPr>
      <w:ind w:firstLine="420" w:firstLineChars="200"/>
    </w:pPr>
    <w:rPr>
      <w:rFonts w:ascii="Calibri" w:hAnsi="Calibri" w:eastAsia="微软雅黑" w:cs="Times New Roman"/>
    </w:rPr>
  </w:style>
  <w:style w:type="paragraph" w:customStyle="1" w:styleId="10">
    <w:name w:val="Text"/>
    <w:qFormat/>
    <w:uiPriority w:val="99"/>
    <w:pPr>
      <w:suppressAutoHyphens/>
      <w:autoSpaceDE w:val="0"/>
      <w:autoSpaceDN w:val="0"/>
      <w:adjustRightInd w:val="0"/>
      <w:spacing w:before="160" w:line="260" w:lineRule="atLeast"/>
    </w:pPr>
    <w:rPr>
      <w:rFonts w:ascii="Arial" w:hAnsi="Arial" w:eastAsia="宋体" w:cs="Arial"/>
      <w:color w:val="000000"/>
      <w:w w:val="0"/>
      <w:sz w:val="22"/>
      <w:szCs w:val="22"/>
      <w:lang w:val="en-US" w:eastAsia="en-US"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1304</Words>
  <Characters>7435</Characters>
  <Lines>61</Lines>
  <Paragraphs>17</Paragraphs>
  <TotalTime>1</TotalTime>
  <ScaleCrop>false</ScaleCrop>
  <LinksUpToDate>false</LinksUpToDate>
  <CharactersWithSpaces>8722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2021-03-11T03:07:00Z</dcterms:created>
  <dc:creator>尹光娟</dc:creator>
  <cp:lastModifiedBy>郑宝顾</cp:lastModifiedBy>
  <cp:lastPrinted>2020-05-11T07:53:00Z</cp:lastPrinted>
  <dcterms:modified xsi:type="dcterms:W3CDTF">2021-06-28T01:15:25Z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6BCB48C58261477E8843DB02DE989084</vt:lpwstr>
  </property>
</Properties>
</file>