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D5607C">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5607C" w:rsidRPr="00D5607C">
        <w:rPr>
          <w:rFonts w:ascii="宋体" w:hAnsi="宋体" w:cs="宋体" w:hint="eastAsia"/>
          <w:b/>
          <w:sz w:val="28"/>
          <w:szCs w:val="28"/>
        </w:rPr>
        <w:t>口腔科</w:t>
      </w:r>
      <w:proofErr w:type="gramStart"/>
      <w:r w:rsidR="00D5607C" w:rsidRPr="00D5607C">
        <w:rPr>
          <w:rFonts w:ascii="宋体" w:hAnsi="宋体" w:cs="宋体" w:hint="eastAsia"/>
          <w:b/>
          <w:sz w:val="28"/>
          <w:szCs w:val="28"/>
        </w:rPr>
        <w:t>颅</w:t>
      </w:r>
      <w:proofErr w:type="gramEnd"/>
      <w:r w:rsidR="00D5607C" w:rsidRPr="00D5607C">
        <w:rPr>
          <w:rFonts w:ascii="宋体" w:hAnsi="宋体" w:cs="宋体" w:hint="eastAsia"/>
          <w:b/>
          <w:sz w:val="28"/>
          <w:szCs w:val="28"/>
        </w:rPr>
        <w:t>颌面外科内固定系统</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421524" w:rsidTr="00AE4CB0">
        <w:trPr>
          <w:trHeight w:val="20"/>
          <w:jc w:val="center"/>
        </w:trPr>
        <w:tc>
          <w:tcPr>
            <w:tcW w:w="851" w:type="dxa"/>
            <w:vAlign w:val="center"/>
          </w:tcPr>
          <w:p w:rsidR="00421524" w:rsidRDefault="00421524" w:rsidP="00421524">
            <w:pPr>
              <w:jc w:val="center"/>
            </w:pPr>
            <w:r>
              <w:rPr>
                <w:rFonts w:hint="eastAsia"/>
              </w:rPr>
              <w:t>1</w:t>
            </w:r>
          </w:p>
        </w:tc>
        <w:tc>
          <w:tcPr>
            <w:tcW w:w="2126" w:type="dxa"/>
            <w:vAlign w:val="center"/>
          </w:tcPr>
          <w:p w:rsidR="00421524" w:rsidRDefault="00421524" w:rsidP="00421524">
            <w:pPr>
              <w:widowControl/>
              <w:jc w:val="center"/>
              <w:textAlignment w:val="center"/>
              <w:rPr>
                <w:rFonts w:asciiTheme="minorEastAsia" w:eastAsiaTheme="minorEastAsia" w:hAnsiTheme="minorEastAsia" w:cstheme="minorEastAsia"/>
                <w:color w:val="000000"/>
                <w:sz w:val="20"/>
                <w:szCs w:val="20"/>
              </w:rPr>
            </w:pPr>
            <w:proofErr w:type="gramStart"/>
            <w:r>
              <w:rPr>
                <w:rFonts w:ascii="宋体" w:hAnsi="宋体" w:cs="宋体" w:hint="eastAsia"/>
                <w:color w:val="000000"/>
                <w:kern w:val="0"/>
                <w:sz w:val="22"/>
                <w:szCs w:val="22"/>
              </w:rPr>
              <w:t>内固定钛板</w:t>
            </w:r>
            <w:proofErr w:type="gramEnd"/>
          </w:p>
        </w:tc>
        <w:tc>
          <w:tcPr>
            <w:tcW w:w="993" w:type="dxa"/>
            <w:vAlign w:val="center"/>
          </w:tcPr>
          <w:p w:rsidR="00421524" w:rsidRDefault="00421524" w:rsidP="00421524">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片</w:t>
            </w:r>
          </w:p>
        </w:tc>
        <w:tc>
          <w:tcPr>
            <w:tcW w:w="1617" w:type="dxa"/>
          </w:tcPr>
          <w:p w:rsidR="00421524" w:rsidRDefault="00421524" w:rsidP="00910178">
            <w:pPr>
              <w:jc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各规格</w:t>
            </w:r>
          </w:p>
        </w:tc>
        <w:tc>
          <w:tcPr>
            <w:tcW w:w="1250" w:type="dxa"/>
            <w:vAlign w:val="center"/>
          </w:tcPr>
          <w:p w:rsidR="00421524" w:rsidRDefault="00421524" w:rsidP="00421524">
            <w:pPr>
              <w:jc w:val="center"/>
              <w:rPr>
                <w:rFonts w:asciiTheme="minorEastAsia" w:eastAsiaTheme="minorEastAsia" w:hAnsiTheme="minorEastAsia" w:cstheme="minorEastAsia"/>
                <w:color w:val="000000"/>
                <w:sz w:val="20"/>
                <w:szCs w:val="20"/>
              </w:rPr>
            </w:pPr>
            <w:r>
              <w:rPr>
                <w:rFonts w:ascii="宋体" w:hAnsi="宋体" w:cs="宋体" w:hint="eastAsia"/>
                <w:color w:val="000000"/>
                <w:kern w:val="0"/>
                <w:sz w:val="22"/>
                <w:szCs w:val="22"/>
              </w:rPr>
              <w:t>18000</w:t>
            </w:r>
          </w:p>
        </w:tc>
        <w:tc>
          <w:tcPr>
            <w:tcW w:w="1572" w:type="dxa"/>
            <w:vAlign w:val="center"/>
          </w:tcPr>
          <w:p w:rsidR="00421524" w:rsidRPr="0056616D" w:rsidRDefault="00421524" w:rsidP="00421524"/>
        </w:tc>
      </w:tr>
      <w:tr w:rsidR="00421524" w:rsidTr="00AE4CB0">
        <w:trPr>
          <w:trHeight w:val="20"/>
          <w:jc w:val="center"/>
        </w:trPr>
        <w:tc>
          <w:tcPr>
            <w:tcW w:w="851" w:type="dxa"/>
            <w:vAlign w:val="center"/>
          </w:tcPr>
          <w:p w:rsidR="00421524" w:rsidRDefault="00421524" w:rsidP="00421524">
            <w:pPr>
              <w:jc w:val="center"/>
            </w:pPr>
            <w:r>
              <w:rPr>
                <w:rFonts w:hint="eastAsia"/>
              </w:rPr>
              <w:t>2</w:t>
            </w:r>
          </w:p>
        </w:tc>
        <w:tc>
          <w:tcPr>
            <w:tcW w:w="2126" w:type="dxa"/>
            <w:vAlign w:val="center"/>
          </w:tcPr>
          <w:p w:rsidR="00421524" w:rsidRDefault="00421524" w:rsidP="00421524">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kern w:val="0"/>
                <w:sz w:val="22"/>
                <w:szCs w:val="22"/>
              </w:rPr>
              <w:t>钛合金螺钉</w:t>
            </w:r>
          </w:p>
        </w:tc>
        <w:tc>
          <w:tcPr>
            <w:tcW w:w="993" w:type="dxa"/>
            <w:vAlign w:val="center"/>
          </w:tcPr>
          <w:p w:rsidR="00421524" w:rsidRDefault="00421524" w:rsidP="00421524">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枚</w:t>
            </w:r>
          </w:p>
        </w:tc>
        <w:tc>
          <w:tcPr>
            <w:tcW w:w="1617" w:type="dxa"/>
          </w:tcPr>
          <w:p w:rsidR="00421524" w:rsidRDefault="00421524" w:rsidP="00910178">
            <w:pPr>
              <w:jc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各规格</w:t>
            </w:r>
          </w:p>
        </w:tc>
        <w:tc>
          <w:tcPr>
            <w:tcW w:w="1250" w:type="dxa"/>
            <w:vAlign w:val="center"/>
          </w:tcPr>
          <w:p w:rsidR="00421524" w:rsidRDefault="00421524" w:rsidP="00421524">
            <w:pPr>
              <w:jc w:val="center"/>
              <w:rPr>
                <w:rFonts w:asciiTheme="minorEastAsia" w:eastAsiaTheme="minorEastAsia" w:hAnsiTheme="minorEastAsia" w:cstheme="minorEastAsia"/>
                <w:color w:val="000000"/>
                <w:sz w:val="20"/>
                <w:szCs w:val="20"/>
              </w:rPr>
            </w:pPr>
            <w:r>
              <w:rPr>
                <w:rFonts w:ascii="宋体" w:hAnsi="宋体" w:cs="宋体" w:hint="eastAsia"/>
                <w:color w:val="000000"/>
                <w:kern w:val="0"/>
                <w:sz w:val="22"/>
                <w:szCs w:val="22"/>
              </w:rPr>
              <w:t>1200</w:t>
            </w:r>
          </w:p>
        </w:tc>
        <w:tc>
          <w:tcPr>
            <w:tcW w:w="1572" w:type="dxa"/>
            <w:vAlign w:val="center"/>
          </w:tcPr>
          <w:p w:rsidR="00421524" w:rsidRDefault="00421524" w:rsidP="00421524"/>
        </w:tc>
      </w:tr>
      <w:tr w:rsidR="00421524" w:rsidTr="00AE4CB0">
        <w:trPr>
          <w:trHeight w:val="20"/>
          <w:jc w:val="center"/>
        </w:trPr>
        <w:tc>
          <w:tcPr>
            <w:tcW w:w="851" w:type="dxa"/>
            <w:vAlign w:val="center"/>
          </w:tcPr>
          <w:p w:rsidR="00421524" w:rsidRDefault="00421524" w:rsidP="00421524">
            <w:pPr>
              <w:jc w:val="center"/>
            </w:pPr>
            <w:r>
              <w:rPr>
                <w:rFonts w:hint="eastAsia"/>
              </w:rPr>
              <w:t>3</w:t>
            </w:r>
          </w:p>
        </w:tc>
        <w:tc>
          <w:tcPr>
            <w:tcW w:w="2126" w:type="dxa"/>
            <w:vAlign w:val="center"/>
          </w:tcPr>
          <w:p w:rsidR="00421524" w:rsidRDefault="00421524" w:rsidP="00421524">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kern w:val="0"/>
                <w:sz w:val="22"/>
                <w:szCs w:val="22"/>
              </w:rPr>
              <w:t>颌骨牵引器</w:t>
            </w:r>
          </w:p>
        </w:tc>
        <w:tc>
          <w:tcPr>
            <w:tcW w:w="993" w:type="dxa"/>
            <w:vAlign w:val="center"/>
          </w:tcPr>
          <w:p w:rsidR="00421524" w:rsidRDefault="00F360CD" w:rsidP="00421524">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个</w:t>
            </w:r>
          </w:p>
        </w:tc>
        <w:tc>
          <w:tcPr>
            <w:tcW w:w="1617" w:type="dxa"/>
          </w:tcPr>
          <w:p w:rsidR="00421524" w:rsidRDefault="00421524" w:rsidP="00910178">
            <w:pPr>
              <w:jc w:val="center"/>
              <w:rPr>
                <w:rFonts w:asciiTheme="minorEastAsia" w:eastAsiaTheme="minorEastAsia" w:hAnsiTheme="minorEastAsia" w:cstheme="minorEastAsia"/>
                <w:color w:val="000000"/>
                <w:sz w:val="20"/>
                <w:szCs w:val="20"/>
              </w:rPr>
            </w:pPr>
            <w:r>
              <w:rPr>
                <w:rFonts w:hint="eastAsia"/>
              </w:rPr>
              <w:t>各规格</w:t>
            </w:r>
          </w:p>
        </w:tc>
        <w:tc>
          <w:tcPr>
            <w:tcW w:w="1250" w:type="dxa"/>
            <w:vAlign w:val="center"/>
          </w:tcPr>
          <w:p w:rsidR="00421524" w:rsidRDefault="00421524" w:rsidP="00421524">
            <w:pPr>
              <w:jc w:val="center"/>
              <w:rPr>
                <w:rFonts w:asciiTheme="minorEastAsia" w:eastAsiaTheme="minorEastAsia" w:hAnsiTheme="minorEastAsia" w:cstheme="minorEastAsia"/>
                <w:color w:val="000000"/>
                <w:sz w:val="20"/>
                <w:szCs w:val="20"/>
              </w:rPr>
            </w:pPr>
            <w:r>
              <w:rPr>
                <w:rFonts w:ascii="宋体" w:hAnsi="宋体" w:cs="宋体" w:hint="eastAsia"/>
                <w:color w:val="000000"/>
                <w:kern w:val="0"/>
                <w:sz w:val="22"/>
                <w:szCs w:val="22"/>
              </w:rPr>
              <w:t>13800</w:t>
            </w:r>
          </w:p>
        </w:tc>
        <w:tc>
          <w:tcPr>
            <w:tcW w:w="1572" w:type="dxa"/>
            <w:vAlign w:val="center"/>
          </w:tcPr>
          <w:p w:rsidR="00421524" w:rsidRDefault="00421524" w:rsidP="00421524"/>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F360CD">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421524" w:rsidRPr="006F0DAC" w:rsidTr="00421524">
        <w:trPr>
          <w:trHeight w:val="516"/>
        </w:trPr>
        <w:tc>
          <w:tcPr>
            <w:tcW w:w="1276" w:type="dxa"/>
            <w:vAlign w:val="center"/>
          </w:tcPr>
          <w:p w:rsidR="00421524" w:rsidRPr="00EB48CE" w:rsidRDefault="00421524"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421524" w:rsidRPr="00EB48CE" w:rsidRDefault="00421524"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421524" w:rsidRPr="00EB48CE" w:rsidRDefault="00421524" w:rsidP="00573C3A">
            <w:pPr>
              <w:jc w:val="center"/>
              <w:rPr>
                <w:rFonts w:ascii="宋体" w:hAnsi="宋体"/>
                <w:b/>
                <w:szCs w:val="21"/>
              </w:rPr>
            </w:pPr>
            <w:r w:rsidRPr="00EB48CE">
              <w:rPr>
                <w:rFonts w:ascii="宋体" w:hAnsi="宋体" w:hint="eastAsia"/>
                <w:b/>
                <w:szCs w:val="21"/>
              </w:rPr>
              <w:t>备注</w:t>
            </w:r>
          </w:p>
        </w:tc>
      </w:tr>
      <w:tr w:rsidR="00421524" w:rsidRPr="006F0DAC" w:rsidTr="00421524">
        <w:trPr>
          <w:trHeight w:val="450"/>
        </w:trPr>
        <w:tc>
          <w:tcPr>
            <w:tcW w:w="1276" w:type="dxa"/>
            <w:vMerge w:val="restart"/>
          </w:tcPr>
          <w:p w:rsidR="00421524" w:rsidRPr="006F0DAC" w:rsidRDefault="00421524" w:rsidP="000C5345">
            <w:pPr>
              <w:widowControl/>
              <w:jc w:val="left"/>
              <w:rPr>
                <w:rFonts w:ascii="宋体" w:hAnsi="宋体"/>
                <w:kern w:val="0"/>
                <w:szCs w:val="21"/>
              </w:rPr>
            </w:pPr>
            <w:r w:rsidRPr="00D5607C">
              <w:rPr>
                <w:rFonts w:hint="eastAsia"/>
                <w:b/>
                <w:bCs/>
                <w:szCs w:val="21"/>
              </w:rPr>
              <w:t>口腔科</w:t>
            </w:r>
            <w:proofErr w:type="gramStart"/>
            <w:r w:rsidRPr="00D5607C">
              <w:rPr>
                <w:rFonts w:hint="eastAsia"/>
                <w:b/>
                <w:bCs/>
                <w:szCs w:val="21"/>
              </w:rPr>
              <w:t>颅</w:t>
            </w:r>
            <w:proofErr w:type="gramEnd"/>
            <w:r w:rsidRPr="00D5607C">
              <w:rPr>
                <w:rFonts w:hint="eastAsia"/>
                <w:b/>
                <w:bCs/>
                <w:szCs w:val="21"/>
              </w:rPr>
              <w:t>颌面外科内固定系统</w:t>
            </w:r>
          </w:p>
        </w:tc>
        <w:tc>
          <w:tcPr>
            <w:tcW w:w="4819" w:type="dxa"/>
          </w:tcPr>
          <w:p w:rsidR="00421524" w:rsidRPr="006F0DAC" w:rsidRDefault="00421524"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Pr>
                <w:rFonts w:eastAsiaTheme="minorEastAsia" w:hint="eastAsia"/>
              </w:rPr>
              <w:t>国产产品</w:t>
            </w:r>
            <w:r w:rsidRPr="006F0DAC">
              <w:rPr>
                <w:rFonts w:ascii="宋体" w:hAnsi="宋体" w:hint="eastAsia"/>
                <w:szCs w:val="21"/>
              </w:rPr>
              <w:t>。</w:t>
            </w:r>
          </w:p>
        </w:tc>
        <w:tc>
          <w:tcPr>
            <w:tcW w:w="1276" w:type="dxa"/>
          </w:tcPr>
          <w:p w:rsidR="00421524" w:rsidRPr="006F0DAC" w:rsidRDefault="00421524" w:rsidP="00DD0471">
            <w:pPr>
              <w:widowControl/>
              <w:jc w:val="left"/>
              <w:rPr>
                <w:rFonts w:ascii="宋体" w:hAnsi="宋体"/>
                <w:kern w:val="0"/>
                <w:szCs w:val="21"/>
              </w:rPr>
            </w:pPr>
          </w:p>
        </w:tc>
      </w:tr>
      <w:tr w:rsidR="00421524" w:rsidRPr="006F0DAC" w:rsidTr="00421524">
        <w:trPr>
          <w:trHeight w:val="450"/>
        </w:trPr>
        <w:tc>
          <w:tcPr>
            <w:tcW w:w="1276" w:type="dxa"/>
            <w:vMerge/>
          </w:tcPr>
          <w:p w:rsidR="00421524" w:rsidRPr="006F0DAC" w:rsidRDefault="00421524" w:rsidP="00DD0471">
            <w:pPr>
              <w:widowControl/>
              <w:jc w:val="left"/>
              <w:rPr>
                <w:rFonts w:ascii="宋体" w:hAnsi="宋体"/>
                <w:kern w:val="0"/>
                <w:szCs w:val="21"/>
              </w:rPr>
            </w:pPr>
          </w:p>
        </w:tc>
        <w:tc>
          <w:tcPr>
            <w:tcW w:w="4819" w:type="dxa"/>
          </w:tcPr>
          <w:p w:rsidR="00421524" w:rsidRPr="006F0DAC" w:rsidRDefault="00421524" w:rsidP="00E97266">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Pr>
                <w:rFonts w:eastAsiaTheme="minorEastAsia" w:hint="eastAsia"/>
              </w:rPr>
              <w:t>用于颅颌面部骨折，肿瘤，畸形修复</w:t>
            </w:r>
            <w:r w:rsidRPr="006F0DAC">
              <w:rPr>
                <w:rFonts w:ascii="宋体" w:hAnsi="宋体" w:cs="宋体" w:hint="eastAsia"/>
                <w:szCs w:val="21"/>
              </w:rPr>
              <w:t>。</w:t>
            </w:r>
          </w:p>
        </w:tc>
        <w:tc>
          <w:tcPr>
            <w:tcW w:w="1276" w:type="dxa"/>
          </w:tcPr>
          <w:p w:rsidR="00421524" w:rsidRPr="006F0DAC" w:rsidRDefault="00421524" w:rsidP="00DD0471">
            <w:pPr>
              <w:widowControl/>
              <w:jc w:val="left"/>
              <w:rPr>
                <w:rFonts w:ascii="宋体" w:hAnsi="宋体"/>
                <w:kern w:val="0"/>
                <w:szCs w:val="21"/>
              </w:rPr>
            </w:pPr>
          </w:p>
        </w:tc>
      </w:tr>
      <w:tr w:rsidR="00421524" w:rsidRPr="006F0DAC" w:rsidTr="00421524">
        <w:trPr>
          <w:trHeight w:val="450"/>
        </w:trPr>
        <w:tc>
          <w:tcPr>
            <w:tcW w:w="1276" w:type="dxa"/>
            <w:vMerge/>
          </w:tcPr>
          <w:p w:rsidR="00421524" w:rsidRPr="006F0DAC" w:rsidRDefault="00421524" w:rsidP="00DD0471">
            <w:pPr>
              <w:widowControl/>
              <w:jc w:val="left"/>
              <w:rPr>
                <w:rFonts w:ascii="宋体" w:hAnsi="宋体"/>
                <w:kern w:val="0"/>
                <w:szCs w:val="21"/>
              </w:rPr>
            </w:pPr>
          </w:p>
        </w:tc>
        <w:tc>
          <w:tcPr>
            <w:tcW w:w="4819" w:type="dxa"/>
          </w:tcPr>
          <w:p w:rsidR="00421524" w:rsidRPr="006F0DAC" w:rsidRDefault="00421524" w:rsidP="00E97266">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Pr>
                <w:rFonts w:eastAsiaTheme="minorEastAsia" w:hint="eastAsia"/>
              </w:rPr>
              <w:t>用于</w:t>
            </w:r>
            <w:proofErr w:type="gramStart"/>
            <w:r>
              <w:rPr>
                <w:rFonts w:eastAsiaTheme="minorEastAsia" w:hint="eastAsia"/>
              </w:rPr>
              <w:t>内固定钛板锁定</w:t>
            </w:r>
            <w:proofErr w:type="gramEnd"/>
            <w:r w:rsidRPr="006F0DAC">
              <w:rPr>
                <w:rFonts w:ascii="宋体" w:hAnsi="宋体" w:hint="eastAsia"/>
                <w:szCs w:val="21"/>
              </w:rPr>
              <w:t>。</w:t>
            </w:r>
          </w:p>
        </w:tc>
        <w:tc>
          <w:tcPr>
            <w:tcW w:w="1276" w:type="dxa"/>
          </w:tcPr>
          <w:p w:rsidR="00421524" w:rsidRPr="006F0DAC" w:rsidRDefault="00421524" w:rsidP="00DD0471">
            <w:pPr>
              <w:widowControl/>
              <w:jc w:val="left"/>
              <w:rPr>
                <w:rFonts w:ascii="宋体" w:hAnsi="宋体"/>
                <w:kern w:val="0"/>
                <w:szCs w:val="21"/>
              </w:rPr>
            </w:pPr>
          </w:p>
        </w:tc>
      </w:tr>
      <w:tr w:rsidR="00421524" w:rsidRPr="006F0DAC" w:rsidTr="00421524">
        <w:trPr>
          <w:trHeight w:val="450"/>
        </w:trPr>
        <w:tc>
          <w:tcPr>
            <w:tcW w:w="1276" w:type="dxa"/>
            <w:vMerge/>
          </w:tcPr>
          <w:p w:rsidR="00421524" w:rsidRPr="006F0DAC" w:rsidRDefault="00421524" w:rsidP="00DD0471">
            <w:pPr>
              <w:widowControl/>
              <w:jc w:val="left"/>
              <w:rPr>
                <w:rFonts w:ascii="宋体" w:hAnsi="宋体"/>
                <w:kern w:val="0"/>
                <w:szCs w:val="21"/>
              </w:rPr>
            </w:pPr>
          </w:p>
        </w:tc>
        <w:tc>
          <w:tcPr>
            <w:tcW w:w="4819" w:type="dxa"/>
          </w:tcPr>
          <w:p w:rsidR="00421524" w:rsidRPr="006F0DAC" w:rsidRDefault="00421524" w:rsidP="00E97266">
            <w:pPr>
              <w:widowControl/>
              <w:jc w:val="left"/>
              <w:rPr>
                <w:rFonts w:ascii="宋体" w:hAnsi="宋体"/>
                <w:kern w:val="0"/>
                <w:szCs w:val="21"/>
              </w:rPr>
            </w:pPr>
            <w:r w:rsidRPr="006F0DAC">
              <w:rPr>
                <w:rFonts w:ascii="宋体" w:hAnsi="宋体" w:hint="eastAsia"/>
                <w:kern w:val="0"/>
                <w:szCs w:val="21"/>
              </w:rPr>
              <w:t>4</w:t>
            </w:r>
            <w:r>
              <w:rPr>
                <w:rFonts w:ascii="宋体" w:hAnsi="宋体" w:hint="eastAsia"/>
                <w:kern w:val="0"/>
                <w:szCs w:val="21"/>
              </w:rPr>
              <w:t>、</w:t>
            </w:r>
            <w:r>
              <w:rPr>
                <w:rFonts w:eastAsiaTheme="minorEastAsia" w:hint="eastAsia"/>
              </w:rPr>
              <w:t>用于上下颌骨畸形牵引</w:t>
            </w:r>
            <w:r w:rsidRPr="006F0DAC">
              <w:rPr>
                <w:rFonts w:ascii="宋体" w:hAnsi="宋体" w:cs="宋体" w:hint="eastAsia"/>
                <w:szCs w:val="21"/>
              </w:rPr>
              <w:t>。</w:t>
            </w:r>
          </w:p>
        </w:tc>
        <w:tc>
          <w:tcPr>
            <w:tcW w:w="1276" w:type="dxa"/>
          </w:tcPr>
          <w:p w:rsidR="00421524" w:rsidRPr="006F0DAC" w:rsidRDefault="00421524" w:rsidP="00DD0471">
            <w:pPr>
              <w:widowControl/>
              <w:jc w:val="left"/>
              <w:rPr>
                <w:rFonts w:ascii="宋体" w:hAnsi="宋体"/>
                <w:kern w:val="0"/>
                <w:szCs w:val="21"/>
              </w:rPr>
            </w:pPr>
          </w:p>
        </w:tc>
      </w:tr>
      <w:tr w:rsidR="00421524" w:rsidRPr="006F0DAC" w:rsidTr="00421524">
        <w:trPr>
          <w:trHeight w:val="450"/>
        </w:trPr>
        <w:tc>
          <w:tcPr>
            <w:tcW w:w="1276" w:type="dxa"/>
            <w:vMerge/>
          </w:tcPr>
          <w:p w:rsidR="00421524" w:rsidRPr="006F0DAC" w:rsidRDefault="00421524" w:rsidP="00DD0471">
            <w:pPr>
              <w:widowControl/>
              <w:jc w:val="left"/>
              <w:rPr>
                <w:rFonts w:ascii="宋体" w:hAnsi="宋体"/>
                <w:kern w:val="0"/>
                <w:szCs w:val="21"/>
              </w:rPr>
            </w:pPr>
          </w:p>
        </w:tc>
        <w:tc>
          <w:tcPr>
            <w:tcW w:w="4819" w:type="dxa"/>
          </w:tcPr>
          <w:p w:rsidR="00421524" w:rsidRPr="006F0DAC" w:rsidRDefault="00421524" w:rsidP="00E97266">
            <w:pPr>
              <w:widowControl/>
              <w:jc w:val="left"/>
              <w:rPr>
                <w:rFonts w:ascii="宋体" w:hAnsi="宋体"/>
                <w:kern w:val="0"/>
                <w:szCs w:val="21"/>
              </w:rPr>
            </w:pPr>
            <w:r w:rsidRPr="006F0DAC">
              <w:rPr>
                <w:rFonts w:ascii="宋体" w:hAnsi="宋体" w:hint="eastAsia"/>
                <w:kern w:val="0"/>
                <w:szCs w:val="21"/>
              </w:rPr>
              <w:t>5</w:t>
            </w:r>
            <w:r>
              <w:rPr>
                <w:rFonts w:ascii="宋体" w:hAnsi="宋体" w:hint="eastAsia"/>
                <w:kern w:val="0"/>
                <w:szCs w:val="21"/>
              </w:rPr>
              <w:t>、</w:t>
            </w:r>
            <w:r>
              <w:rPr>
                <w:rFonts w:eastAsiaTheme="minorEastAsia" w:hint="eastAsia"/>
              </w:rPr>
              <w:t>产品材料符合</w:t>
            </w:r>
            <w:r>
              <w:rPr>
                <w:rFonts w:eastAsiaTheme="minorEastAsia" w:hint="eastAsia"/>
              </w:rPr>
              <w:t>GB/T13810</w:t>
            </w:r>
            <w:r>
              <w:rPr>
                <w:rFonts w:eastAsiaTheme="minorEastAsia" w:hint="eastAsia"/>
              </w:rPr>
              <w:t>外科植入</w:t>
            </w:r>
            <w:proofErr w:type="gramStart"/>
            <w:r>
              <w:rPr>
                <w:rFonts w:eastAsiaTheme="minorEastAsia" w:hint="eastAsia"/>
              </w:rPr>
              <w:t>物纯钛</w:t>
            </w:r>
            <w:proofErr w:type="gramEnd"/>
            <w:r>
              <w:rPr>
                <w:rFonts w:ascii="宋体" w:hAnsi="宋体" w:hint="eastAsia"/>
                <w:kern w:val="0"/>
                <w:szCs w:val="21"/>
              </w:rPr>
              <w:t>。</w:t>
            </w:r>
          </w:p>
        </w:tc>
        <w:tc>
          <w:tcPr>
            <w:tcW w:w="1276" w:type="dxa"/>
          </w:tcPr>
          <w:p w:rsidR="00421524" w:rsidRPr="006F0DAC" w:rsidRDefault="00421524" w:rsidP="00DD0471">
            <w:pPr>
              <w:widowControl/>
              <w:jc w:val="left"/>
              <w:rPr>
                <w:rFonts w:ascii="宋体" w:hAnsi="宋体"/>
                <w:kern w:val="0"/>
                <w:szCs w:val="21"/>
              </w:rPr>
            </w:pPr>
          </w:p>
        </w:tc>
      </w:tr>
    </w:tbl>
    <w:p w:rsidR="00EB48CE" w:rsidRDefault="006A420C" w:rsidP="00F360CD">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0A4413" w:rsidRPr="000A4413" w:rsidRDefault="000A4413" w:rsidP="000A4413">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0A4413"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F360CD">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C5" w:rsidRDefault="005326C5" w:rsidP="006C75A6">
      <w:r>
        <w:separator/>
      </w:r>
    </w:p>
  </w:endnote>
  <w:endnote w:type="continuationSeparator" w:id="0">
    <w:p w:rsidR="005326C5" w:rsidRDefault="005326C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67877">
        <w:pPr>
          <w:pStyle w:val="afe"/>
        </w:pPr>
        <w:r>
          <w:fldChar w:fldCharType="begin"/>
        </w:r>
        <w:r w:rsidR="00E7702A">
          <w:instrText xml:space="preserve"> PAGE   \* MERGEFORMAT </w:instrText>
        </w:r>
        <w:r>
          <w:fldChar w:fldCharType="separate"/>
        </w:r>
        <w:r w:rsidR="00F360CD" w:rsidRPr="00F360CD">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67877">
        <w:pPr>
          <w:pStyle w:val="afe"/>
          <w:jc w:val="right"/>
        </w:pPr>
        <w:r>
          <w:fldChar w:fldCharType="begin"/>
        </w:r>
        <w:r w:rsidR="00E7702A">
          <w:instrText xml:space="preserve"> PAGE   \* MERGEFORMAT </w:instrText>
        </w:r>
        <w:r>
          <w:fldChar w:fldCharType="separate"/>
        </w:r>
        <w:r w:rsidR="00F360CD" w:rsidRPr="00F360CD">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C5" w:rsidRDefault="005326C5" w:rsidP="006C75A6">
      <w:r>
        <w:separator/>
      </w:r>
    </w:p>
  </w:footnote>
  <w:footnote w:type="continuationSeparator" w:id="0">
    <w:p w:rsidR="005326C5" w:rsidRDefault="005326C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4413"/>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4B"/>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524"/>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6C5"/>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877"/>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ADF"/>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01E0"/>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0178"/>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355"/>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607C"/>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3784"/>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0CD"/>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B515"/>
  <w15:docId w15:val="{E75A8F4A-1D28-47CE-AE55-E63224E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EEBFC-2F96-46EF-A546-897AB802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2526</Characters>
  <Application>Microsoft Office Word</Application>
  <DocSecurity>0</DocSecurity>
  <Lines>21</Lines>
  <Paragraphs>5</Paragraphs>
  <ScaleCrop>false</ScaleCrop>
  <Company>MS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2021-01-11T07:21:00Z</dcterms:created>
  <dcterms:modified xsi:type="dcterms:W3CDTF">2021-01-11T07:21:00Z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