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eastAsia="宋体" w:cs="宋体"/>
          <w:b/>
          <w:sz w:val="28"/>
          <w:szCs w:val="28"/>
          <w:lang w:val="en-US" w:eastAsia="zh-CN"/>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highlight w:val="none"/>
        </w:rPr>
        <w:t>根管预备机</w:t>
      </w:r>
      <w:r>
        <w:rPr>
          <w:rFonts w:hint="eastAsia" w:ascii="宋体" w:hAnsi="宋体" w:cs="宋体"/>
          <w:b/>
          <w:sz w:val="28"/>
          <w:szCs w:val="28"/>
        </w:rPr>
        <w:t>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938"/>
        <w:gridCol w:w="1025"/>
        <w:gridCol w:w="999"/>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3" w:type="dxa"/>
            <w:vAlign w:val="center"/>
          </w:tcPr>
          <w:p>
            <w:pPr>
              <w:jc w:val="center"/>
              <w:rPr>
                <w:b/>
                <w:bCs/>
                <w:color w:val="000000"/>
                <w:szCs w:val="21"/>
              </w:rPr>
            </w:pPr>
            <w:r>
              <w:rPr>
                <w:rFonts w:hint="eastAsia"/>
                <w:b/>
                <w:bCs/>
                <w:color w:val="000000"/>
                <w:szCs w:val="21"/>
              </w:rPr>
              <w:t>序号</w:t>
            </w:r>
          </w:p>
        </w:tc>
        <w:tc>
          <w:tcPr>
            <w:tcW w:w="2938" w:type="dxa"/>
            <w:vAlign w:val="center"/>
          </w:tcPr>
          <w:p>
            <w:pPr>
              <w:jc w:val="center"/>
              <w:rPr>
                <w:b/>
                <w:bCs/>
                <w:color w:val="000000"/>
                <w:szCs w:val="21"/>
              </w:rPr>
            </w:pPr>
            <w:r>
              <w:rPr>
                <w:rFonts w:hint="eastAsia"/>
                <w:b/>
                <w:bCs/>
                <w:color w:val="000000"/>
                <w:szCs w:val="21"/>
              </w:rPr>
              <w:t>货物名称</w:t>
            </w:r>
          </w:p>
        </w:tc>
        <w:tc>
          <w:tcPr>
            <w:tcW w:w="1025" w:type="dxa"/>
            <w:vAlign w:val="center"/>
          </w:tcPr>
          <w:p>
            <w:pPr>
              <w:jc w:val="center"/>
              <w:rPr>
                <w:b/>
                <w:bCs/>
                <w:color w:val="000000"/>
                <w:szCs w:val="21"/>
              </w:rPr>
            </w:pPr>
            <w:r>
              <w:rPr>
                <w:rFonts w:hint="eastAsia"/>
                <w:b/>
                <w:bCs/>
                <w:color w:val="000000"/>
                <w:szCs w:val="21"/>
              </w:rPr>
              <w:t>数量</w:t>
            </w:r>
          </w:p>
        </w:tc>
        <w:tc>
          <w:tcPr>
            <w:tcW w:w="999" w:type="dxa"/>
            <w:vAlign w:val="center"/>
          </w:tcPr>
          <w:p>
            <w:pPr>
              <w:jc w:val="center"/>
              <w:rPr>
                <w:b/>
                <w:bCs/>
                <w:color w:val="000000"/>
                <w:szCs w:val="21"/>
              </w:rPr>
            </w:pPr>
            <w:r>
              <w:rPr>
                <w:rFonts w:hint="eastAsia"/>
                <w:b/>
                <w:bCs/>
                <w:color w:val="000000"/>
                <w:szCs w:val="21"/>
              </w:rPr>
              <w:t>单位</w:t>
            </w:r>
          </w:p>
        </w:tc>
        <w:tc>
          <w:tcPr>
            <w:tcW w:w="2053" w:type="dxa"/>
            <w:vAlign w:val="center"/>
          </w:tcPr>
          <w:p>
            <w:pPr>
              <w:jc w:val="center"/>
              <w:rPr>
                <w:b/>
                <w:bCs/>
                <w:color w:val="000000"/>
                <w:szCs w:val="21"/>
              </w:rPr>
            </w:pPr>
            <w:r>
              <w:rPr>
                <w:rFonts w:hint="eastAsia"/>
                <w:b/>
                <w:bCs/>
                <w:color w:val="000000"/>
                <w:szCs w:val="21"/>
              </w:rPr>
              <w:t>预算金额</w:t>
            </w:r>
          </w:p>
          <w:p>
            <w:pPr>
              <w:jc w:val="center"/>
              <w:rPr>
                <w:b/>
                <w:bCs/>
                <w:color w:val="000000"/>
                <w:szCs w:val="21"/>
              </w:rPr>
            </w:pPr>
            <w:r>
              <w:rPr>
                <w:rFonts w:hint="eastAsia"/>
                <w:b/>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3" w:type="dxa"/>
            <w:vAlign w:val="center"/>
          </w:tcPr>
          <w:p>
            <w:pPr>
              <w:jc w:val="center"/>
              <w:rPr>
                <w:color w:val="000000"/>
                <w:szCs w:val="21"/>
              </w:rPr>
            </w:pPr>
            <w:r>
              <w:rPr>
                <w:rFonts w:hint="eastAsia"/>
                <w:color w:val="000000"/>
                <w:szCs w:val="21"/>
              </w:rPr>
              <w:t>1</w:t>
            </w:r>
          </w:p>
        </w:tc>
        <w:tc>
          <w:tcPr>
            <w:tcW w:w="2938" w:type="dxa"/>
            <w:vAlign w:val="center"/>
          </w:tcPr>
          <w:p>
            <w:pPr>
              <w:jc w:val="center"/>
              <w:rPr>
                <w:color w:val="000000"/>
                <w:szCs w:val="21"/>
              </w:rPr>
            </w:pPr>
            <w:r>
              <w:rPr>
                <w:rFonts w:hint="eastAsia"/>
                <w:color w:val="000000"/>
                <w:szCs w:val="21"/>
              </w:rPr>
              <w:t>根管预备机</w:t>
            </w:r>
          </w:p>
        </w:tc>
        <w:tc>
          <w:tcPr>
            <w:tcW w:w="1025" w:type="dxa"/>
            <w:vAlign w:val="center"/>
          </w:tcPr>
          <w:p>
            <w:pPr>
              <w:jc w:val="center"/>
              <w:rPr>
                <w:color w:val="000000"/>
                <w:szCs w:val="21"/>
              </w:rPr>
            </w:pPr>
            <w:r>
              <w:rPr>
                <w:rFonts w:hint="eastAsia"/>
                <w:color w:val="000000"/>
                <w:szCs w:val="21"/>
              </w:rPr>
              <w:t>1</w:t>
            </w:r>
          </w:p>
        </w:tc>
        <w:tc>
          <w:tcPr>
            <w:tcW w:w="999" w:type="dxa"/>
            <w:vAlign w:val="center"/>
          </w:tcPr>
          <w:p>
            <w:pPr>
              <w:jc w:val="center"/>
              <w:rPr>
                <w:color w:val="000000"/>
                <w:szCs w:val="21"/>
              </w:rPr>
            </w:pPr>
            <w:r>
              <w:rPr>
                <w:rFonts w:hint="eastAsia"/>
                <w:color w:val="000000"/>
                <w:szCs w:val="21"/>
              </w:rPr>
              <w:t>台</w:t>
            </w:r>
          </w:p>
        </w:tc>
        <w:tc>
          <w:tcPr>
            <w:tcW w:w="2053" w:type="dxa"/>
            <w:vAlign w:val="center"/>
          </w:tcPr>
          <w:p>
            <w:pPr>
              <w:jc w:val="center"/>
              <w:rPr>
                <w:b/>
                <w:bCs/>
                <w:color w:val="000000"/>
                <w:szCs w:val="21"/>
              </w:rPr>
            </w:pPr>
            <w:r>
              <w:rPr>
                <w:rFonts w:hint="eastAsia"/>
                <w:color w:val="000000"/>
                <w:szCs w:val="21"/>
              </w:rPr>
              <w:t>3</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799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76" w:type="dxa"/>
            <w:vAlign w:val="center"/>
          </w:tcPr>
          <w:p>
            <w:pPr>
              <w:jc w:val="center"/>
              <w:rPr>
                <w:rFonts w:ascii="宋体" w:hAnsi="宋体"/>
                <w:szCs w:val="21"/>
              </w:rPr>
            </w:pPr>
            <w:r>
              <w:rPr>
                <w:rFonts w:hint="eastAsia" w:ascii="宋体" w:hAnsi="宋体"/>
                <w:szCs w:val="21"/>
              </w:rPr>
              <w:t>货物名称</w:t>
            </w:r>
          </w:p>
        </w:tc>
        <w:tc>
          <w:tcPr>
            <w:tcW w:w="5524" w:type="dxa"/>
            <w:vAlign w:val="center"/>
          </w:tcPr>
          <w:p>
            <w:pPr>
              <w:jc w:val="center"/>
              <w:rPr>
                <w:rFonts w:ascii="宋体" w:hAnsi="宋体"/>
                <w:szCs w:val="21"/>
              </w:rPr>
            </w:pPr>
            <w:r>
              <w:rPr>
                <w:rFonts w:hint="eastAsia" w:ascii="宋体" w:hAnsi="宋体"/>
                <w:szCs w:val="21"/>
              </w:rPr>
              <w:t>招标技术要求</w:t>
            </w:r>
          </w:p>
        </w:tc>
        <w:tc>
          <w:tcPr>
            <w:tcW w:w="1191"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6" w:type="dxa"/>
            <w:vMerge w:val="restart"/>
            <w:vAlign w:val="center"/>
          </w:tcPr>
          <w:p>
            <w:pPr>
              <w:widowControl/>
              <w:rPr>
                <w:rFonts w:ascii="宋体" w:hAnsi="宋体" w:cs="宋体"/>
                <w:color w:val="000000"/>
                <w:szCs w:val="21"/>
              </w:rPr>
            </w:pPr>
            <w:r>
              <w:rPr>
                <w:rFonts w:hint="eastAsia" w:ascii="宋体" w:hAnsi="宋体" w:cs="宋体"/>
                <w:color w:val="000000"/>
                <w:szCs w:val="21"/>
              </w:rPr>
              <w:t>根管预备机</w:t>
            </w: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▲内置根管长度测量功能，同时预备和确定工作长度功能，也能可单独使用根测功能</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▲在预备和根测同时使用时，在根管锉到达根尖孔时，设备会自动停止并反向旋转，以保证操作安全</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widowControl/>
              <w:jc w:val="both"/>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▲安全操作程序：在连续旋转模式下处理复杂根管时，可自动降低扭矩，增加操作安全性</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在扭矩达到设定值时，自动停止并反向旋转，保证使用安全</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color w:val="000000"/>
                <w:szCs w:val="21"/>
              </w:rPr>
            </w:pPr>
          </w:p>
        </w:tc>
        <w:tc>
          <w:tcPr>
            <w:tcW w:w="5524" w:type="dxa"/>
            <w:vAlign w:val="center"/>
          </w:tcPr>
          <w:p>
            <w:pPr>
              <w:widowControl/>
              <w:jc w:val="both"/>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扭矩调节范围：20-500 gcm，增量为 10 gcm。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vAlign w:val="center"/>
          </w:tcPr>
          <w:p>
            <w:pPr>
              <w:widowControl/>
              <w:rPr>
                <w:rFonts w:ascii="宋体" w:hAnsi="宋体" w:cs="宋体"/>
                <w:kern w:val="0"/>
                <w:szCs w:val="21"/>
              </w:rPr>
            </w:pPr>
          </w:p>
        </w:tc>
        <w:tc>
          <w:tcPr>
            <w:tcW w:w="5524" w:type="dxa"/>
            <w:vAlign w:val="center"/>
          </w:tcPr>
          <w:p>
            <w:pPr>
              <w:widowControl/>
              <w:jc w:val="both"/>
              <w:rPr>
                <w:rFonts w:ascii="宋体" w:hAnsi="宋体" w:cs="宋体"/>
                <w:kern w:val="0"/>
                <w:szCs w:val="21"/>
              </w:rPr>
            </w:pPr>
            <w:r>
              <w:rPr>
                <w:rFonts w:hint="eastAsia" w:ascii="宋体" w:hAnsi="宋体" w:cs="宋体"/>
                <w:color w:val="000000"/>
                <w:szCs w:val="21"/>
                <w:lang w:val="en-US" w:eastAsia="zh-CN"/>
              </w:rPr>
              <w:t>6.</w:t>
            </w:r>
            <w:r>
              <w:rPr>
                <w:rFonts w:hint="eastAsia" w:ascii="宋体" w:hAnsi="宋体" w:cs="宋体"/>
                <w:color w:val="000000"/>
                <w:szCs w:val="21"/>
              </w:rPr>
              <w:t>转速调节范围：250-3200rpm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widowControl/>
              <w:jc w:val="both"/>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适用于往复旋转和360度旋转的镍钛根管预备器械系统，并预设</w:t>
            </w:r>
            <w:r>
              <w:rPr>
                <w:rFonts w:hint="eastAsia" w:ascii="宋体" w:hAnsi="宋体" w:cs="宋体"/>
                <w:color w:val="000000"/>
                <w:szCs w:val="21"/>
                <w:lang w:val="en-US" w:eastAsia="zh-CN"/>
              </w:rPr>
              <w:t>有但不限于</w:t>
            </w:r>
            <w:r>
              <w:rPr>
                <w:rFonts w:hint="eastAsia" w:ascii="宋体" w:hAnsi="宋体" w:cs="宋体"/>
                <w:color w:val="000000"/>
                <w:szCs w:val="21"/>
              </w:rPr>
              <w:t>Reciproc、Waveone、Mtwo、Protaper、K3、FlexMaster、Gate等系统的数据</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可重新设定设备出厂时内部存储的数据</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▲配置升级端口，设备具有系统升级功能</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10.</w:t>
            </w:r>
            <w:r>
              <w:rPr>
                <w:rFonts w:hint="eastAsia" w:ascii="宋体" w:hAnsi="宋体" w:cs="宋体"/>
                <w:color w:val="000000"/>
                <w:szCs w:val="21"/>
              </w:rPr>
              <w:t>自带充电电池，充电时马达仍可使用</w:t>
            </w:r>
            <w:r>
              <w:rPr>
                <w:rFonts w:hint="eastAsia" w:ascii="宋体" w:hAnsi="宋体" w:cs="宋体"/>
                <w:color w:val="000000"/>
                <w:szCs w:val="21"/>
                <w:lang w:eastAsia="zh-CN"/>
              </w:rPr>
              <w:t>，</w:t>
            </w:r>
            <w:r>
              <w:rPr>
                <w:rFonts w:hint="eastAsia" w:ascii="宋体" w:hAnsi="宋体" w:cs="宋体"/>
                <w:color w:val="000000"/>
                <w:szCs w:val="21"/>
              </w:rPr>
              <w:t>充</w:t>
            </w:r>
            <w:r>
              <w:rPr>
                <w:rFonts w:hint="eastAsia" w:ascii="宋体" w:hAnsi="宋体" w:cs="宋体"/>
                <w:color w:val="000000"/>
                <w:szCs w:val="21"/>
                <w:lang w:val="en-US" w:eastAsia="zh-CN"/>
              </w:rPr>
              <w:t>满</w:t>
            </w:r>
            <w:r>
              <w:rPr>
                <w:rFonts w:hint="eastAsia" w:ascii="宋体" w:hAnsi="宋体" w:cs="宋体"/>
                <w:color w:val="000000"/>
                <w:szCs w:val="21"/>
              </w:rPr>
              <w:t>电可连续使用</w:t>
            </w:r>
            <w:r>
              <w:rPr>
                <w:rFonts w:hint="eastAsia" w:ascii="宋体" w:hAnsi="宋体" w:cs="宋体"/>
                <w:color w:val="000000"/>
                <w:szCs w:val="21"/>
                <w:lang w:val="en-US" w:eastAsia="zh-CN"/>
              </w:rPr>
              <w:t>不少于</w:t>
            </w:r>
            <w:r>
              <w:rPr>
                <w:rFonts w:hint="eastAsia" w:ascii="宋体" w:hAnsi="宋体" w:cs="宋体"/>
                <w:color w:val="000000"/>
                <w:szCs w:val="21"/>
              </w:rPr>
              <w:t>2小时</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11.</w:t>
            </w:r>
            <w:r>
              <w:rPr>
                <w:rFonts w:hint="eastAsia" w:ascii="宋体" w:hAnsi="宋体" w:cs="宋体"/>
                <w:color w:val="000000"/>
                <w:szCs w:val="21"/>
              </w:rPr>
              <w:t>带校准功能键，可以校准手机和手柄之间的连接，确保使用过程中的准确性</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12.</w:t>
            </w:r>
            <w:r>
              <w:rPr>
                <w:rFonts w:hint="eastAsia" w:ascii="宋体" w:hAnsi="宋体" w:cs="宋体"/>
                <w:color w:val="000000"/>
                <w:szCs w:val="21"/>
              </w:rPr>
              <w:t>自带脚踏开关，有脚踏开关和面板开关两种开关控制</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▲配备全不锈钢高性能6：1减速无碳刷手机</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spacing w:line="560" w:lineRule="atLeast"/>
              <w:jc w:val="both"/>
              <w:rPr>
                <w:rFonts w:ascii="宋体" w:hAnsi="宋体" w:cs="宋体"/>
                <w:color w:val="000000"/>
                <w:szCs w:val="21"/>
              </w:rPr>
            </w:pPr>
            <w:r>
              <w:rPr>
                <w:rFonts w:hint="eastAsia" w:ascii="宋体" w:hAnsi="宋体" w:cs="宋体"/>
                <w:color w:val="000000"/>
                <w:szCs w:val="21"/>
                <w:lang w:val="en-US" w:eastAsia="zh-CN"/>
              </w:rPr>
              <w:t>14.</w:t>
            </w:r>
            <w:r>
              <w:rPr>
                <w:rFonts w:hint="eastAsia" w:ascii="宋体" w:hAnsi="宋体" w:cs="宋体"/>
                <w:color w:val="000000"/>
                <w:szCs w:val="21"/>
              </w:rPr>
              <w:t>电源适配器（带有专用磁环，电缆长度：1.8m)。</w:t>
            </w:r>
            <w:r>
              <w:rPr>
                <w:rFonts w:hint="eastAsia" w:ascii="宋体" w:hAnsi="宋体" w:cs="宋体"/>
                <w:color w:val="000000"/>
                <w:szCs w:val="21"/>
                <w:lang w:val="en-US" w:eastAsia="zh-CN"/>
              </w:rPr>
              <w:t>14.</w:t>
            </w:r>
            <w:r>
              <w:rPr>
                <w:rFonts w:hint="eastAsia" w:ascii="宋体" w:hAnsi="宋体" w:cs="宋体"/>
                <w:color w:val="000000"/>
                <w:szCs w:val="21"/>
              </w:rPr>
              <w:t>配套4种可互换插头</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15.</w:t>
            </w:r>
            <w:r>
              <w:rPr>
                <w:rFonts w:hint="eastAsia" w:ascii="宋体" w:hAnsi="宋体" w:cs="宋体"/>
                <w:color w:val="000000"/>
                <w:szCs w:val="21"/>
              </w:rPr>
              <w:t>尺寸：</w:t>
            </w:r>
            <w:r>
              <w:rPr>
                <w:rFonts w:hint="default" w:ascii="Arial" w:hAnsi="Arial" w:cs="Arial"/>
                <w:color w:val="000000"/>
                <w:kern w:val="0"/>
                <w:sz w:val="24"/>
                <w:lang w:bidi="ar"/>
              </w:rPr>
              <w:t>≤</w:t>
            </w:r>
            <w:r>
              <w:rPr>
                <w:rFonts w:hint="eastAsia" w:ascii="宋体" w:hAnsi="宋体" w:cs="宋体"/>
                <w:color w:val="000000"/>
                <w:szCs w:val="21"/>
                <w:lang w:val="en-US" w:eastAsia="zh-CN"/>
              </w:rPr>
              <w:t>220</w:t>
            </w:r>
            <w:r>
              <w:rPr>
                <w:rFonts w:hint="eastAsia" w:ascii="宋体" w:hAnsi="宋体" w:cs="宋体"/>
                <w:color w:val="000000"/>
                <w:szCs w:val="21"/>
              </w:rPr>
              <w:t xml:space="preserve"> x </w:t>
            </w:r>
            <w:r>
              <w:rPr>
                <w:rFonts w:hint="eastAsia" w:ascii="宋体" w:hAnsi="宋体" w:cs="宋体"/>
                <w:color w:val="000000"/>
                <w:szCs w:val="21"/>
                <w:lang w:val="en-US" w:eastAsia="zh-CN"/>
              </w:rPr>
              <w:t>100</w:t>
            </w:r>
            <w:r>
              <w:rPr>
                <w:rFonts w:hint="eastAsia" w:ascii="宋体" w:hAnsi="宋体" w:cs="宋体"/>
                <w:color w:val="000000"/>
                <w:szCs w:val="21"/>
              </w:rPr>
              <w:t xml:space="preserve"> x </w:t>
            </w:r>
            <w:r>
              <w:rPr>
                <w:rFonts w:hint="eastAsia" w:ascii="宋体" w:hAnsi="宋体" w:cs="宋体"/>
                <w:color w:val="000000"/>
                <w:szCs w:val="21"/>
                <w:lang w:val="en-US" w:eastAsia="zh-CN"/>
              </w:rPr>
              <w:t>100</w:t>
            </w:r>
            <w:r>
              <w:rPr>
                <w:rFonts w:hint="eastAsia" w:ascii="宋体" w:hAnsi="宋体" w:cs="宋体"/>
                <w:color w:val="000000"/>
                <w:szCs w:val="21"/>
              </w:rPr>
              <w:t>mm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16.</w:t>
            </w:r>
            <w:r>
              <w:rPr>
                <w:rFonts w:hint="eastAsia" w:ascii="宋体" w:hAnsi="宋体" w:cs="宋体"/>
                <w:color w:val="000000"/>
                <w:szCs w:val="21"/>
              </w:rPr>
              <w:t>重量：</w:t>
            </w:r>
            <w:r>
              <w:rPr>
                <w:rFonts w:hint="default" w:ascii="Arial" w:hAnsi="Arial" w:cs="Arial"/>
                <w:color w:val="000000"/>
                <w:kern w:val="0"/>
                <w:sz w:val="24"/>
                <w:lang w:bidi="ar"/>
              </w:rPr>
              <w:t>≤</w:t>
            </w:r>
            <w:r>
              <w:rPr>
                <w:rFonts w:hint="eastAsia" w:ascii="宋体" w:hAnsi="宋体" w:cs="宋体"/>
                <w:color w:val="000000"/>
                <w:szCs w:val="21"/>
                <w:lang w:val="en-US" w:eastAsia="zh-CN"/>
              </w:rPr>
              <w:t>1.5</w:t>
            </w:r>
            <w:r>
              <w:rPr>
                <w:rFonts w:hint="eastAsia" w:ascii="宋体" w:hAnsi="宋体" w:cs="宋体"/>
                <w:color w:val="000000"/>
                <w:szCs w:val="21"/>
              </w:rPr>
              <w:t>kg</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17.</w:t>
            </w:r>
            <w:r>
              <w:rPr>
                <w:rFonts w:hint="eastAsia" w:ascii="宋体" w:hAnsi="宋体" w:cs="宋体"/>
                <w:color w:val="000000"/>
                <w:szCs w:val="21"/>
              </w:rPr>
              <w:t>材料：操作面板外壳：PC/ABS，微型马达：铝合金</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18.</w:t>
            </w:r>
            <w:r>
              <w:rPr>
                <w:rFonts w:hint="eastAsia" w:ascii="宋体" w:hAnsi="宋体" w:cs="宋体"/>
                <w:color w:val="000000"/>
                <w:szCs w:val="21"/>
              </w:rPr>
              <w:t>马达接头为国际标准 ISO 3964</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widowControl/>
              <w:jc w:val="both"/>
              <w:rPr>
                <w:rFonts w:ascii="宋体" w:hAnsi="宋体" w:cs="宋体"/>
                <w:szCs w:val="21"/>
              </w:rPr>
            </w:pPr>
            <w:r>
              <w:rPr>
                <w:rFonts w:hint="eastAsia" w:ascii="宋体" w:hAnsi="宋体" w:cs="宋体"/>
                <w:color w:val="000000"/>
                <w:szCs w:val="21"/>
                <w:lang w:val="en-US" w:eastAsia="zh-CN"/>
              </w:rPr>
              <w:t>19.</w:t>
            </w:r>
            <w:r>
              <w:rPr>
                <w:rFonts w:hint="eastAsia" w:ascii="宋体" w:hAnsi="宋体" w:cs="宋体"/>
                <w:color w:val="000000"/>
                <w:szCs w:val="21"/>
              </w:rPr>
              <w:t>可重新设定设备出厂时内部存储的数据</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ascii="宋体" w:hAnsi="宋体" w:cs="宋体"/>
                <w:color w:val="000000"/>
                <w:szCs w:val="21"/>
              </w:rPr>
            </w:pPr>
            <w:r>
              <w:rPr>
                <w:rFonts w:hint="eastAsia" w:ascii="宋体" w:hAnsi="宋体" w:cs="宋体"/>
                <w:color w:val="000000"/>
                <w:szCs w:val="21"/>
                <w:lang w:val="en-US" w:eastAsia="zh-CN"/>
              </w:rPr>
              <w:t>20.</w:t>
            </w:r>
            <w:r>
              <w:rPr>
                <w:rFonts w:hint="eastAsia" w:ascii="宋体" w:hAnsi="宋体" w:cs="宋体"/>
                <w:color w:val="000000"/>
                <w:szCs w:val="21"/>
              </w:rPr>
              <w:t>带电缆和插头的微型马达线（长度：</w:t>
            </w:r>
            <w:r>
              <w:rPr>
                <w:rFonts w:hint="default" w:ascii="Arial" w:hAnsi="Arial" w:cs="Arial"/>
                <w:color w:val="000000"/>
                <w:szCs w:val="21"/>
              </w:rPr>
              <w:t>≥</w:t>
            </w:r>
            <w:r>
              <w:rPr>
                <w:rFonts w:hint="eastAsia" w:ascii="宋体" w:hAnsi="宋体" w:cs="宋体"/>
                <w:color w:val="000000"/>
                <w:szCs w:val="21"/>
              </w:rPr>
              <w:t>1.8 m）</w:t>
            </w:r>
          </w:p>
        </w:tc>
        <w:tc>
          <w:tcPr>
            <w:tcW w:w="119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rPr>
                <w:rFonts w:ascii="宋体" w:hAnsi="宋体" w:cs="宋体"/>
                <w:kern w:val="0"/>
                <w:szCs w:val="21"/>
              </w:rPr>
            </w:pPr>
          </w:p>
        </w:tc>
        <w:tc>
          <w:tcPr>
            <w:tcW w:w="5524" w:type="dxa"/>
            <w:vAlign w:val="center"/>
          </w:tcPr>
          <w:p>
            <w:pPr>
              <w:jc w:val="both"/>
              <w:rPr>
                <w:rFonts w:hint="eastAsia" w:ascii="宋体" w:hAnsi="宋体" w:eastAsia="宋体" w:cs="宋体"/>
                <w:color w:val="000000"/>
                <w:szCs w:val="21"/>
                <w:lang w:eastAsia="zh-CN"/>
              </w:rPr>
            </w:pPr>
            <w:r>
              <w:rPr>
                <w:rFonts w:hint="eastAsia" w:ascii="宋体" w:hAnsi="宋体" w:cs="宋体"/>
                <w:color w:val="000000"/>
                <w:szCs w:val="21"/>
                <w:lang w:val="en-US" w:eastAsia="zh-CN"/>
              </w:rPr>
              <w:t>21.</w:t>
            </w:r>
            <w:r>
              <w:rPr>
                <w:rFonts w:hint="eastAsia" w:ascii="宋体" w:hAnsi="宋体" w:cs="宋体"/>
                <w:color w:val="000000"/>
                <w:szCs w:val="21"/>
              </w:rPr>
              <w:t>配根管锉夹电线和唇钩电缆（带有专用磁环）</w:t>
            </w:r>
            <w:r>
              <w:rPr>
                <w:rFonts w:hint="eastAsia" w:ascii="宋体" w:hAnsi="宋体" w:cs="宋体"/>
                <w:color w:val="000000"/>
                <w:szCs w:val="21"/>
                <w:lang w:eastAsia="zh-CN"/>
              </w:rPr>
              <w:t>，</w:t>
            </w:r>
            <w:r>
              <w:rPr>
                <w:rFonts w:hint="eastAsia" w:ascii="宋体" w:hAnsi="宋体" w:cs="宋体"/>
                <w:color w:val="000000"/>
                <w:szCs w:val="21"/>
              </w:rPr>
              <w:t>长度</w:t>
            </w:r>
            <w:r>
              <w:rPr>
                <w:rFonts w:hint="eastAsia" w:ascii="宋体" w:hAnsi="宋体" w:cs="宋体"/>
                <w:color w:val="000000"/>
                <w:szCs w:val="21"/>
                <w:lang w:val="en-US" w:eastAsia="zh-CN"/>
              </w:rPr>
              <w:t>符合实际需求。</w:t>
            </w:r>
          </w:p>
        </w:tc>
        <w:tc>
          <w:tcPr>
            <w:tcW w:w="1191"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rFonts w:hint="eastAsia" w:eastAsia="宋体"/>
          <w:szCs w:val="24"/>
          <w:lang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931"/>
        <w:gridCol w:w="1215"/>
        <w:gridCol w:w="111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0" w:type="dxa"/>
            <w:vAlign w:val="center"/>
          </w:tcPr>
          <w:p>
            <w:pPr>
              <w:rPr>
                <w:rFonts w:ascii="宋体" w:hAnsi="宋体"/>
                <w:color w:val="000000"/>
                <w:szCs w:val="21"/>
              </w:rPr>
            </w:pPr>
            <w:r>
              <w:rPr>
                <w:rFonts w:hint="eastAsia" w:ascii="宋体" w:hAnsi="宋体"/>
                <w:color w:val="000000"/>
                <w:szCs w:val="21"/>
              </w:rPr>
              <w:t>序号</w:t>
            </w:r>
          </w:p>
        </w:tc>
        <w:tc>
          <w:tcPr>
            <w:tcW w:w="3931" w:type="dxa"/>
            <w:vAlign w:val="center"/>
          </w:tcPr>
          <w:p>
            <w:pPr>
              <w:jc w:val="center"/>
              <w:rPr>
                <w:rFonts w:ascii="宋体" w:hAnsi="宋体"/>
                <w:color w:val="000000"/>
                <w:szCs w:val="21"/>
              </w:rPr>
            </w:pPr>
            <w:r>
              <w:rPr>
                <w:rFonts w:hint="eastAsia" w:ascii="宋体" w:hAnsi="宋体"/>
                <w:color w:val="000000"/>
                <w:szCs w:val="21"/>
              </w:rPr>
              <w:t>配置名称</w:t>
            </w:r>
          </w:p>
        </w:tc>
        <w:tc>
          <w:tcPr>
            <w:tcW w:w="1215" w:type="dxa"/>
            <w:vAlign w:val="center"/>
          </w:tcPr>
          <w:p>
            <w:pPr>
              <w:jc w:val="center"/>
              <w:rPr>
                <w:rFonts w:ascii="宋体" w:hAnsi="宋体"/>
                <w:color w:val="000000"/>
                <w:szCs w:val="21"/>
              </w:rPr>
            </w:pPr>
            <w:r>
              <w:rPr>
                <w:rFonts w:hint="eastAsia" w:ascii="宋体" w:hAnsi="宋体"/>
                <w:color w:val="000000"/>
                <w:szCs w:val="21"/>
              </w:rPr>
              <w:t>数量</w:t>
            </w:r>
          </w:p>
        </w:tc>
        <w:tc>
          <w:tcPr>
            <w:tcW w:w="1110" w:type="dxa"/>
            <w:vAlign w:val="center"/>
          </w:tcPr>
          <w:p>
            <w:pPr>
              <w:jc w:val="center"/>
              <w:rPr>
                <w:rFonts w:ascii="宋体" w:hAnsi="宋体"/>
                <w:color w:val="000000"/>
                <w:szCs w:val="21"/>
              </w:rPr>
            </w:pPr>
            <w:r>
              <w:rPr>
                <w:rFonts w:hint="eastAsia" w:ascii="宋体" w:hAnsi="宋体"/>
                <w:color w:val="000000"/>
                <w:szCs w:val="21"/>
              </w:rPr>
              <w:t>单位</w:t>
            </w:r>
          </w:p>
        </w:tc>
        <w:tc>
          <w:tcPr>
            <w:tcW w:w="991" w:type="dxa"/>
            <w:vAlign w:val="center"/>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1</w:t>
            </w:r>
          </w:p>
        </w:tc>
        <w:tc>
          <w:tcPr>
            <w:tcW w:w="3931" w:type="dxa"/>
            <w:vAlign w:val="center"/>
          </w:tcPr>
          <w:p>
            <w:pPr>
              <w:widowControl/>
              <w:jc w:val="center"/>
              <w:rPr>
                <w:rFonts w:ascii="宋体" w:hAnsi="宋体"/>
                <w:szCs w:val="21"/>
              </w:rPr>
            </w:pPr>
            <w:r>
              <w:rPr>
                <w:rFonts w:hint="eastAsia" w:ascii="宋体" w:hAnsi="宋体"/>
                <w:szCs w:val="21"/>
              </w:rPr>
              <w:t>主机</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jc w:val="center"/>
              <w:rPr>
                <w:color w:val="000000"/>
              </w:rPr>
            </w:pPr>
            <w:r>
              <w:rPr>
                <w:rFonts w:hint="eastAsia"/>
                <w:color w:val="000000"/>
              </w:rPr>
              <w:t>台</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2</w:t>
            </w:r>
          </w:p>
        </w:tc>
        <w:tc>
          <w:tcPr>
            <w:tcW w:w="3931" w:type="dxa"/>
            <w:vAlign w:val="center"/>
          </w:tcPr>
          <w:p>
            <w:pPr>
              <w:widowControl/>
              <w:jc w:val="center"/>
              <w:rPr>
                <w:rFonts w:ascii="宋体" w:hAnsi="宋体"/>
                <w:szCs w:val="21"/>
              </w:rPr>
            </w:pPr>
            <w:r>
              <w:rPr>
                <w:rFonts w:hint="eastAsia" w:ascii="宋体" w:hAnsi="宋体"/>
                <w:szCs w:val="21"/>
              </w:rPr>
              <w:t>手柄线</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jc w:val="center"/>
              <w:rPr>
                <w:color w:val="000000"/>
              </w:rPr>
            </w:pPr>
            <w:r>
              <w:rPr>
                <w:rFonts w:hint="eastAsia"/>
                <w:color w:val="000000"/>
              </w:rPr>
              <w:t>条</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3</w:t>
            </w:r>
          </w:p>
        </w:tc>
        <w:tc>
          <w:tcPr>
            <w:tcW w:w="3931" w:type="dxa"/>
            <w:vAlign w:val="center"/>
          </w:tcPr>
          <w:p>
            <w:pPr>
              <w:widowControl/>
              <w:jc w:val="center"/>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弯手机</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支</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4</w:t>
            </w:r>
          </w:p>
        </w:tc>
        <w:tc>
          <w:tcPr>
            <w:tcW w:w="3931" w:type="dxa"/>
            <w:vAlign w:val="center"/>
          </w:tcPr>
          <w:p>
            <w:pPr>
              <w:widowControl/>
              <w:jc w:val="center"/>
              <w:rPr>
                <w:rFonts w:ascii="宋体" w:hAnsi="宋体"/>
                <w:szCs w:val="21"/>
              </w:rPr>
            </w:pPr>
            <w:r>
              <w:rPr>
                <w:rFonts w:hint="eastAsia" w:ascii="宋体" w:hAnsi="宋体"/>
                <w:szCs w:val="21"/>
              </w:rPr>
              <w:t>充电器</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5</w:t>
            </w:r>
          </w:p>
        </w:tc>
        <w:tc>
          <w:tcPr>
            <w:tcW w:w="3931" w:type="dxa"/>
            <w:vAlign w:val="center"/>
          </w:tcPr>
          <w:p>
            <w:pPr>
              <w:widowControl/>
              <w:jc w:val="center"/>
              <w:rPr>
                <w:rFonts w:ascii="宋体" w:hAnsi="宋体"/>
                <w:szCs w:val="21"/>
              </w:rPr>
            </w:pPr>
            <w:r>
              <w:rPr>
                <w:rFonts w:hint="eastAsia" w:ascii="宋体" w:hAnsi="宋体"/>
                <w:szCs w:val="21"/>
              </w:rPr>
              <w:t>脚踏</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6</w:t>
            </w:r>
          </w:p>
        </w:tc>
        <w:tc>
          <w:tcPr>
            <w:tcW w:w="3931" w:type="dxa"/>
            <w:vAlign w:val="center"/>
          </w:tcPr>
          <w:p>
            <w:pPr>
              <w:widowControl/>
              <w:jc w:val="center"/>
              <w:rPr>
                <w:rFonts w:ascii="宋体" w:hAnsi="宋体"/>
                <w:szCs w:val="21"/>
              </w:rPr>
            </w:pPr>
            <w:r>
              <w:rPr>
                <w:rFonts w:hint="eastAsia" w:ascii="宋体" w:hAnsi="宋体"/>
                <w:szCs w:val="21"/>
              </w:rPr>
              <w:t>锉夹线</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条</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7</w:t>
            </w:r>
          </w:p>
        </w:tc>
        <w:tc>
          <w:tcPr>
            <w:tcW w:w="3931" w:type="dxa"/>
            <w:vAlign w:val="center"/>
          </w:tcPr>
          <w:p>
            <w:pPr>
              <w:widowControl/>
              <w:jc w:val="center"/>
              <w:rPr>
                <w:rFonts w:ascii="宋体" w:hAnsi="宋体"/>
                <w:szCs w:val="21"/>
              </w:rPr>
            </w:pPr>
            <w:r>
              <w:rPr>
                <w:rFonts w:hint="eastAsia" w:ascii="宋体" w:hAnsi="宋体"/>
                <w:szCs w:val="21"/>
              </w:rPr>
              <w:t>挂钩线</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1</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条</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8</w:t>
            </w:r>
          </w:p>
        </w:tc>
        <w:tc>
          <w:tcPr>
            <w:tcW w:w="3931" w:type="dxa"/>
            <w:vAlign w:val="center"/>
          </w:tcPr>
          <w:p>
            <w:pPr>
              <w:widowControl/>
              <w:jc w:val="center"/>
              <w:rPr>
                <w:rFonts w:ascii="宋体" w:hAnsi="宋体"/>
                <w:szCs w:val="21"/>
              </w:rPr>
            </w:pPr>
            <w:r>
              <w:rPr>
                <w:rFonts w:hint="eastAsia" w:ascii="宋体" w:hAnsi="宋体"/>
                <w:szCs w:val="21"/>
              </w:rPr>
              <w:t>锉夹</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2</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 w:type="dxa"/>
            <w:vAlign w:val="center"/>
          </w:tcPr>
          <w:p>
            <w:pPr>
              <w:jc w:val="center"/>
              <w:rPr>
                <w:rFonts w:ascii="宋体" w:hAnsi="宋体"/>
                <w:color w:val="000000"/>
                <w:szCs w:val="21"/>
              </w:rPr>
            </w:pPr>
            <w:r>
              <w:rPr>
                <w:rFonts w:hint="eastAsia" w:ascii="宋体" w:hAnsi="宋体"/>
                <w:color w:val="000000"/>
                <w:szCs w:val="21"/>
              </w:rPr>
              <w:t>9</w:t>
            </w:r>
          </w:p>
        </w:tc>
        <w:tc>
          <w:tcPr>
            <w:tcW w:w="3931" w:type="dxa"/>
            <w:vAlign w:val="center"/>
          </w:tcPr>
          <w:p>
            <w:pPr>
              <w:widowControl/>
              <w:jc w:val="center"/>
              <w:rPr>
                <w:rFonts w:ascii="宋体" w:hAnsi="宋体"/>
                <w:szCs w:val="21"/>
              </w:rPr>
            </w:pPr>
            <w:r>
              <w:rPr>
                <w:rFonts w:hint="eastAsia" w:ascii="宋体" w:hAnsi="宋体"/>
                <w:szCs w:val="21"/>
              </w:rPr>
              <w:t>挂钩</w:t>
            </w:r>
          </w:p>
        </w:tc>
        <w:tc>
          <w:tcPr>
            <w:tcW w:w="1215" w:type="dxa"/>
            <w:vAlign w:val="center"/>
          </w:tcPr>
          <w:p>
            <w:pPr>
              <w:widowControl/>
              <w:jc w:val="center"/>
              <w:rPr>
                <w:rFonts w:ascii="新宋体" w:hAnsi="新宋体" w:eastAsia="新宋体" w:cs="Arial"/>
                <w:color w:val="000000"/>
                <w:kern w:val="0"/>
                <w:szCs w:val="21"/>
              </w:rPr>
            </w:pPr>
            <w:r>
              <w:rPr>
                <w:rFonts w:hint="eastAsia" w:ascii="新宋体" w:hAnsi="新宋体" w:eastAsia="新宋体" w:cs="Arial"/>
                <w:color w:val="000000"/>
                <w:kern w:val="0"/>
                <w:szCs w:val="21"/>
              </w:rPr>
              <w:t>2</w:t>
            </w:r>
          </w:p>
        </w:tc>
        <w:tc>
          <w:tcPr>
            <w:tcW w:w="1110" w:type="dxa"/>
            <w:vAlign w:val="center"/>
          </w:tcPr>
          <w:p>
            <w:pPr>
              <w:widowControl/>
              <w:jc w:val="center"/>
              <w:rPr>
                <w:rFonts w:ascii="新宋体" w:hAnsi="新宋体" w:eastAsia="新宋体" w:cs="宋体"/>
                <w:color w:val="000000"/>
                <w:kern w:val="24"/>
                <w:szCs w:val="21"/>
              </w:rPr>
            </w:pPr>
            <w:r>
              <w:rPr>
                <w:rFonts w:hint="eastAsia" w:ascii="新宋体" w:hAnsi="新宋体" w:eastAsia="新宋体" w:cs="宋体"/>
                <w:color w:val="000000"/>
                <w:kern w:val="24"/>
                <w:szCs w:val="21"/>
              </w:rPr>
              <w:t>个</w:t>
            </w:r>
          </w:p>
        </w:tc>
        <w:tc>
          <w:tcPr>
            <w:tcW w:w="991"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70" w:type="dxa"/>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3931" w:type="dxa"/>
            <w:vAlign w:val="bottom"/>
          </w:tcPr>
          <w:p>
            <w:pPr>
              <w:widowControl/>
              <w:jc w:val="center"/>
              <w:rPr>
                <w:rFonts w:hint="default" w:ascii="宋体" w:hAnsi="宋体" w:eastAsia="宋体"/>
                <w:szCs w:val="21"/>
                <w:lang w:val="en-US" w:eastAsia="zh-CN"/>
              </w:rPr>
            </w:pPr>
            <w:r>
              <w:rPr>
                <w:rFonts w:hint="eastAsia" w:ascii="宋体" w:hAnsi="宋体"/>
                <w:szCs w:val="21"/>
                <w:lang w:val="en-US" w:eastAsia="zh-CN"/>
              </w:rPr>
              <w:t>使用说明书</w:t>
            </w:r>
          </w:p>
        </w:tc>
        <w:tc>
          <w:tcPr>
            <w:tcW w:w="1215" w:type="dxa"/>
            <w:vAlign w:val="bottom"/>
          </w:tcPr>
          <w:p>
            <w:pPr>
              <w:widowControl/>
              <w:jc w:val="center"/>
              <w:rPr>
                <w:rFonts w:hint="eastAsia" w:ascii="新宋体" w:hAnsi="新宋体" w:eastAsia="新宋体" w:cs="Arial"/>
                <w:color w:val="000000"/>
                <w:kern w:val="0"/>
                <w:szCs w:val="21"/>
                <w:lang w:val="en-US" w:eastAsia="zh-CN"/>
              </w:rPr>
            </w:pPr>
            <w:r>
              <w:rPr>
                <w:rFonts w:hint="eastAsia" w:ascii="新宋体" w:hAnsi="新宋体" w:eastAsia="新宋体" w:cs="Arial"/>
                <w:color w:val="000000"/>
                <w:kern w:val="0"/>
                <w:szCs w:val="21"/>
                <w:lang w:val="en-US" w:eastAsia="zh-CN"/>
              </w:rPr>
              <w:t>2</w:t>
            </w:r>
          </w:p>
        </w:tc>
        <w:tc>
          <w:tcPr>
            <w:tcW w:w="1110" w:type="dxa"/>
            <w:vAlign w:val="bottom"/>
          </w:tcPr>
          <w:p>
            <w:pPr>
              <w:widowControl/>
              <w:jc w:val="center"/>
              <w:rPr>
                <w:rFonts w:hint="eastAsia" w:ascii="新宋体" w:hAnsi="新宋体" w:eastAsia="新宋体" w:cs="宋体"/>
                <w:color w:val="000000"/>
                <w:kern w:val="24"/>
                <w:szCs w:val="21"/>
                <w:lang w:val="en-US" w:eastAsia="zh-CN"/>
              </w:rPr>
            </w:pPr>
            <w:r>
              <w:rPr>
                <w:rFonts w:hint="eastAsia" w:ascii="新宋体" w:hAnsi="新宋体" w:eastAsia="新宋体" w:cs="宋体"/>
                <w:color w:val="000000"/>
                <w:kern w:val="24"/>
                <w:szCs w:val="21"/>
                <w:lang w:val="en-US" w:eastAsia="zh-CN"/>
              </w:rPr>
              <w:t>套</w:t>
            </w:r>
          </w:p>
        </w:tc>
        <w:tc>
          <w:tcPr>
            <w:tcW w:w="991" w:type="dxa"/>
          </w:tcPr>
          <w:p>
            <w:pPr>
              <w:jc w:val="center"/>
              <w:rPr>
                <w:rFonts w:ascii="宋体" w:hAnsi="宋体"/>
                <w:color w:val="000000"/>
                <w:szCs w:val="21"/>
              </w:rPr>
            </w:pPr>
          </w:p>
        </w:tc>
      </w:tr>
    </w:tbl>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pStyle w:val="2"/>
        <w:rPr>
          <w:rFonts w:hint="eastAsia"/>
          <w:color w:val="auto"/>
        </w:rPr>
      </w:pPr>
    </w:p>
    <w:p>
      <w:pPr>
        <w:pStyle w:val="2"/>
        <w:rPr>
          <w:rFonts w:hint="eastAsia"/>
          <w:color w:val="auto"/>
        </w:rPr>
      </w:pPr>
    </w:p>
    <w:p>
      <w:pPr>
        <w:pStyle w:val="2"/>
        <w:rPr>
          <w:rFonts w:hint="eastAsia"/>
          <w:color w:val="auto"/>
        </w:rPr>
      </w:pP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9"/>
        <w:numPr>
          <w:ilvl w:val="0"/>
          <w:numId w:val="0"/>
        </w:numPr>
        <w:tabs>
          <w:tab w:val="left" w:pos="540"/>
        </w:tabs>
        <w:adjustRightInd w:val="0"/>
        <w:snapToGrid w:val="0"/>
        <w:spacing w:line="360" w:lineRule="auto"/>
        <w:ind w:leftChars="0"/>
        <w:rPr>
          <w:rFonts w:hint="eastAsia"/>
          <w:szCs w:val="24"/>
          <w:lang w:val="en-US" w:eastAsia="zh-CN"/>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lang w:val="en-US" w:eastAsia="zh-CN"/>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lang w:val="en-US" w:eastAsia="zh-CN"/>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lang w:val="en-US" w:eastAsia="zh-CN"/>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5"/>
        <w:rPr>
          <w:rFonts w:hint="eastAsia"/>
          <w:szCs w:val="24"/>
        </w:rPr>
      </w:pPr>
    </w:p>
    <w:p>
      <w:pPr>
        <w:rPr>
          <w:rFonts w:hint="eastAsia"/>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0"/>
              </w:numPr>
              <w:spacing w:line="360" w:lineRule="auto"/>
              <w:ind w:left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p>
      <w:pPr>
        <w:tabs>
          <w:tab w:val="left" w:pos="1260"/>
        </w:tabs>
        <w:spacing w:line="400" w:lineRule="exact"/>
        <w:rPr>
          <w:bCs/>
          <w:szCs w:val="21"/>
        </w:rPr>
      </w:pPr>
    </w:p>
    <w:sectPr>
      <w:footerReference r:id="rId5" w:type="first"/>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EM7&#10;o2O2AQAAkgMAAA4AAAAAAAAAAQAgAAAAHgEAAGRycy9lMm9Eb2MueG1sUEsFBgAAAAAGAAYAWQEA&#10;AEY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Zvw4twEAAJIDAAAOAAAAAAAAAAEAIAAAAB4BAABkcnMvZTJvRG9jLnhtbFBLBQYAAAAABgAGAFkB&#10;AABH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8F"/>
    <w:rsid w:val="0042728C"/>
    <w:rsid w:val="00D5208F"/>
    <w:rsid w:val="00D764E2"/>
    <w:rsid w:val="011A4385"/>
    <w:rsid w:val="02595864"/>
    <w:rsid w:val="033B391D"/>
    <w:rsid w:val="06FF76F8"/>
    <w:rsid w:val="08BD72D0"/>
    <w:rsid w:val="0BAC0ADD"/>
    <w:rsid w:val="0D7E0ACA"/>
    <w:rsid w:val="12B41D5C"/>
    <w:rsid w:val="16FF4316"/>
    <w:rsid w:val="1BD95DBF"/>
    <w:rsid w:val="1EF750CE"/>
    <w:rsid w:val="20EA6D7A"/>
    <w:rsid w:val="28AE76E8"/>
    <w:rsid w:val="28F75923"/>
    <w:rsid w:val="2BFA2482"/>
    <w:rsid w:val="2CC90FDF"/>
    <w:rsid w:val="309F4D12"/>
    <w:rsid w:val="31A709DD"/>
    <w:rsid w:val="33FB7AB5"/>
    <w:rsid w:val="399B218D"/>
    <w:rsid w:val="39CB2614"/>
    <w:rsid w:val="3E4C6796"/>
    <w:rsid w:val="482F3696"/>
    <w:rsid w:val="4F2D081B"/>
    <w:rsid w:val="52D537BE"/>
    <w:rsid w:val="52F26A57"/>
    <w:rsid w:val="53BC757F"/>
    <w:rsid w:val="54F146A9"/>
    <w:rsid w:val="55A75A3A"/>
    <w:rsid w:val="5735011A"/>
    <w:rsid w:val="57701E5B"/>
    <w:rsid w:val="5BE94638"/>
    <w:rsid w:val="5C760EB1"/>
    <w:rsid w:val="5FEC77A2"/>
    <w:rsid w:val="61377F65"/>
    <w:rsid w:val="63BA1B05"/>
    <w:rsid w:val="661276DA"/>
    <w:rsid w:val="69466C83"/>
    <w:rsid w:val="6BE66F57"/>
    <w:rsid w:val="6E591883"/>
    <w:rsid w:val="6FC27175"/>
    <w:rsid w:val="74400998"/>
    <w:rsid w:val="76D830D1"/>
    <w:rsid w:val="7DC8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修订1"/>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2561</Words>
  <Characters>547</Characters>
  <Lines>4</Lines>
  <Paragraphs>6</Paragraphs>
  <TotalTime>165</TotalTime>
  <ScaleCrop>false</ScaleCrop>
  <LinksUpToDate>false</LinksUpToDate>
  <CharactersWithSpaces>3102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2021-05-28T10:47:00Z</dcterms:created>
  <dc:creator>Chinese User</dc:creator>
  <cp:lastModifiedBy>TIGER</cp:lastModifiedBy>
  <cp:lastPrinted>2018-09-27T02:41:00Z</cp:lastPrinted>
  <dcterms:modified xsi:type="dcterms:W3CDTF">2021-12-24T00:12:04Z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33023FD9D2D0455D9227DF31090ED24A</vt:lpwstr>
  </property>
</Properties>
</file>