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keepNext w:val="0"/>
        <w:keepLines w:val="0"/>
        <w:widowControl/>
        <w:suppressLineNumbers w:val="0"/>
        <w:spacing w:before="0" w:beforeAutospacing="0" w:after="0" w:afterAutospacing="0"/>
        <w:ind w:left="0" w:right="0" w:firstLine="0"/>
        <w:jc w:val="center"/>
        <w:rPr>
          <w:rFonts w:hint="eastAsia" w:ascii="宋体" w:hAnsi="宋体" w:cs="宋体"/>
          <w:b/>
          <w:sz w:val="28"/>
          <w:szCs w:val="28"/>
        </w:rPr>
      </w:pPr>
      <w:bookmarkStart w:id="1" w:name="_GoBack"/>
      <w:r>
        <w:rPr>
          <w:rFonts w:hint="eastAsia" w:ascii="宋体" w:hAnsi="宋体" w:cs="宋体"/>
          <w:b/>
          <w:sz w:val="28"/>
          <w:szCs w:val="28"/>
        </w:rPr>
        <w:t>南方科技大学医院全自动立式高压灭菌器招标要求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019"/>
        <w:gridCol w:w="1018"/>
        <w:gridCol w:w="993"/>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39" w:type="dxa"/>
            <w:vAlign w:val="center"/>
          </w:tcPr>
          <w:p>
            <w:pPr>
              <w:ind w:firstLine="210" w:firstLineChars="100"/>
              <w:jc w:val="center"/>
              <w:rPr>
                <w:rFonts w:hint="eastAsia" w:ascii="宋体" w:hAnsi="宋体"/>
                <w:sz w:val="21"/>
                <w:szCs w:val="21"/>
              </w:rPr>
            </w:pPr>
            <w:r>
              <w:rPr>
                <w:rFonts w:hint="eastAsia" w:ascii="宋体" w:hAnsi="宋体"/>
                <w:sz w:val="21"/>
                <w:szCs w:val="21"/>
              </w:rPr>
              <w:t>序号</w:t>
            </w:r>
          </w:p>
        </w:tc>
        <w:tc>
          <w:tcPr>
            <w:tcW w:w="3019" w:type="dxa"/>
            <w:vAlign w:val="center"/>
          </w:tcPr>
          <w:p>
            <w:pPr>
              <w:ind w:firstLine="210" w:firstLineChars="100"/>
              <w:jc w:val="center"/>
              <w:rPr>
                <w:rFonts w:hint="eastAsia" w:ascii="宋体" w:hAnsi="宋体"/>
                <w:sz w:val="21"/>
                <w:szCs w:val="21"/>
              </w:rPr>
            </w:pPr>
            <w:r>
              <w:rPr>
                <w:rFonts w:hint="eastAsia" w:ascii="宋体" w:hAnsi="宋体"/>
                <w:sz w:val="21"/>
                <w:szCs w:val="21"/>
              </w:rPr>
              <w:t>货物名称</w:t>
            </w:r>
          </w:p>
        </w:tc>
        <w:tc>
          <w:tcPr>
            <w:tcW w:w="1018" w:type="dxa"/>
            <w:vAlign w:val="center"/>
          </w:tcPr>
          <w:p>
            <w:pPr>
              <w:ind w:firstLine="210" w:firstLineChars="100"/>
              <w:jc w:val="center"/>
              <w:rPr>
                <w:rFonts w:hint="eastAsia" w:ascii="宋体" w:hAnsi="宋体"/>
                <w:sz w:val="21"/>
                <w:szCs w:val="21"/>
              </w:rPr>
            </w:pPr>
            <w:r>
              <w:rPr>
                <w:rFonts w:hint="eastAsia" w:ascii="宋体" w:hAnsi="宋体"/>
                <w:sz w:val="21"/>
                <w:szCs w:val="21"/>
              </w:rPr>
              <w:t>数量</w:t>
            </w:r>
          </w:p>
        </w:tc>
        <w:tc>
          <w:tcPr>
            <w:tcW w:w="993" w:type="dxa"/>
            <w:vAlign w:val="center"/>
          </w:tcPr>
          <w:p>
            <w:pPr>
              <w:ind w:firstLine="210" w:firstLineChars="100"/>
              <w:jc w:val="center"/>
              <w:rPr>
                <w:rFonts w:hint="eastAsia" w:ascii="宋体" w:hAnsi="宋体"/>
                <w:sz w:val="21"/>
                <w:szCs w:val="21"/>
              </w:rPr>
            </w:pPr>
            <w:r>
              <w:rPr>
                <w:rFonts w:hint="eastAsia" w:ascii="宋体" w:hAnsi="宋体"/>
                <w:sz w:val="21"/>
                <w:szCs w:val="21"/>
              </w:rPr>
              <w:t>单位</w:t>
            </w:r>
          </w:p>
        </w:tc>
        <w:tc>
          <w:tcPr>
            <w:tcW w:w="2979" w:type="dxa"/>
            <w:vAlign w:val="center"/>
          </w:tcPr>
          <w:p>
            <w:pPr>
              <w:ind w:firstLine="210" w:firstLineChars="100"/>
              <w:jc w:val="center"/>
              <w:rPr>
                <w:rFonts w:hint="eastAsia" w:ascii="宋体" w:hAnsi="宋体"/>
                <w:sz w:val="21"/>
                <w:szCs w:val="21"/>
              </w:rPr>
            </w:pPr>
            <w:r>
              <w:rPr>
                <w:rFonts w:hint="eastAsia" w:ascii="宋体" w:hAnsi="宋体"/>
                <w:sz w:val="21"/>
                <w:szCs w:val="21"/>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339" w:type="dxa"/>
            <w:vAlign w:val="center"/>
          </w:tcPr>
          <w:p>
            <w:pPr>
              <w:ind w:firstLine="210" w:firstLineChars="100"/>
              <w:jc w:val="center"/>
              <w:rPr>
                <w:rFonts w:hint="eastAsia" w:ascii="宋体" w:hAnsi="宋体"/>
                <w:sz w:val="21"/>
                <w:szCs w:val="21"/>
                <w:lang w:val="en-US" w:eastAsia="zh-CN"/>
              </w:rPr>
            </w:pPr>
            <w:r>
              <w:rPr>
                <w:rFonts w:hint="eastAsia" w:ascii="宋体" w:hAnsi="宋体"/>
                <w:sz w:val="21"/>
                <w:szCs w:val="21"/>
                <w:lang w:val="en-US" w:eastAsia="zh-CN"/>
              </w:rPr>
              <w:t>1</w:t>
            </w:r>
          </w:p>
        </w:tc>
        <w:tc>
          <w:tcPr>
            <w:tcW w:w="3019" w:type="dxa"/>
            <w:vAlign w:val="center"/>
          </w:tcPr>
          <w:p>
            <w:pPr>
              <w:ind w:firstLine="210" w:firstLineChars="100"/>
              <w:jc w:val="center"/>
              <w:rPr>
                <w:rFonts w:hint="eastAsia" w:ascii="宋体" w:hAnsi="宋体"/>
                <w:sz w:val="21"/>
                <w:szCs w:val="21"/>
                <w:lang w:val="en-US" w:eastAsia="zh-CN"/>
              </w:rPr>
            </w:pPr>
            <w:r>
              <w:rPr>
                <w:rFonts w:hint="eastAsia" w:ascii="宋体" w:hAnsi="宋体"/>
                <w:sz w:val="21"/>
                <w:szCs w:val="21"/>
              </w:rPr>
              <w:t>全自动立式高压灭菌器</w:t>
            </w:r>
          </w:p>
        </w:tc>
        <w:tc>
          <w:tcPr>
            <w:tcW w:w="1018" w:type="dxa"/>
            <w:vAlign w:val="center"/>
          </w:tcPr>
          <w:p>
            <w:pPr>
              <w:ind w:firstLine="210" w:firstLineChars="100"/>
              <w:jc w:val="center"/>
              <w:rPr>
                <w:rFonts w:hint="eastAsia" w:ascii="宋体" w:hAnsi="宋体"/>
                <w:sz w:val="21"/>
                <w:szCs w:val="21"/>
                <w:lang w:val="en-US" w:eastAsia="zh-CN"/>
              </w:rPr>
            </w:pPr>
            <w:r>
              <w:rPr>
                <w:rFonts w:hint="eastAsia" w:ascii="宋体" w:hAnsi="宋体"/>
                <w:sz w:val="21"/>
                <w:szCs w:val="21"/>
                <w:lang w:val="en-US" w:eastAsia="zh-CN"/>
              </w:rPr>
              <w:t>2</w:t>
            </w:r>
          </w:p>
        </w:tc>
        <w:tc>
          <w:tcPr>
            <w:tcW w:w="993" w:type="dxa"/>
            <w:vAlign w:val="center"/>
          </w:tcPr>
          <w:p>
            <w:pPr>
              <w:ind w:firstLine="210" w:firstLineChars="100"/>
              <w:jc w:val="center"/>
              <w:rPr>
                <w:rFonts w:hint="eastAsia" w:ascii="宋体" w:hAnsi="宋体"/>
                <w:sz w:val="21"/>
                <w:szCs w:val="21"/>
                <w:lang w:val="en-US" w:eastAsia="zh-CN"/>
              </w:rPr>
            </w:pPr>
            <w:r>
              <w:rPr>
                <w:rFonts w:hint="eastAsia" w:ascii="宋体" w:hAnsi="宋体"/>
                <w:sz w:val="21"/>
                <w:szCs w:val="21"/>
                <w:lang w:val="en-US" w:eastAsia="zh-CN"/>
              </w:rPr>
              <w:t>台</w:t>
            </w:r>
          </w:p>
        </w:tc>
        <w:tc>
          <w:tcPr>
            <w:tcW w:w="2979" w:type="dxa"/>
            <w:vAlign w:val="center"/>
          </w:tcPr>
          <w:p>
            <w:pPr>
              <w:ind w:firstLine="210" w:firstLineChars="100"/>
              <w:jc w:val="center"/>
              <w:rPr>
                <w:rFonts w:hint="default" w:ascii="宋体" w:hAnsi="宋体"/>
                <w:sz w:val="21"/>
                <w:szCs w:val="21"/>
                <w:lang w:val="en-US" w:eastAsia="zh-CN"/>
              </w:rPr>
            </w:pPr>
            <w:r>
              <w:rPr>
                <w:rFonts w:hint="eastAsia" w:ascii="宋体" w:hAnsi="宋体"/>
                <w:sz w:val="21"/>
                <w:szCs w:val="21"/>
                <w:lang w:val="en-US" w:eastAsia="zh-CN"/>
              </w:rPr>
              <w:t>16.2</w:t>
            </w:r>
          </w:p>
        </w:tc>
      </w:tr>
    </w:tbl>
    <w:p>
      <w:pPr>
        <w:pStyle w:val="6"/>
        <w:spacing w:beforeLines="50" w:afterLines="50"/>
        <w:jc w:val="both"/>
        <w:rPr>
          <w:rFonts w:hint="eastAsia"/>
          <w:bCs w:val="0"/>
          <w:kern w:val="2"/>
          <w:szCs w:val="24"/>
        </w:rPr>
      </w:pPr>
    </w:p>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937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618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6180" w:type="dxa"/>
            <w:vAlign w:val="center"/>
          </w:tcPr>
          <w:p>
            <w:pPr>
              <w:jc w:val="center"/>
              <w:rPr>
                <w:rFonts w:ascii="宋体" w:hAnsi="宋体"/>
                <w:szCs w:val="21"/>
              </w:rPr>
            </w:pPr>
            <w:r>
              <w:rPr>
                <w:rFonts w:hint="eastAsia" w:ascii="宋体" w:hAnsi="宋体"/>
                <w:szCs w:val="21"/>
              </w:rPr>
              <w:t>招标技术要求</w:t>
            </w:r>
          </w:p>
        </w:tc>
        <w:tc>
          <w:tcPr>
            <w:tcW w:w="1250"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vAlign w:val="center"/>
          </w:tcPr>
          <w:p>
            <w:pPr>
              <w:widowControl/>
              <w:jc w:val="center"/>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vAlign w:val="center"/>
          </w:tcPr>
          <w:p>
            <w:pPr>
              <w:widowControl/>
              <w:jc w:val="center"/>
              <w:rPr>
                <w:rFonts w:hint="default" w:ascii="宋体" w:hAnsi="宋体" w:eastAsia="宋体"/>
                <w:kern w:val="0"/>
                <w:szCs w:val="21"/>
                <w:lang w:val="en-US" w:eastAsia="zh-CN"/>
              </w:rPr>
            </w:pPr>
            <w:r>
              <w:rPr>
                <w:rFonts w:hint="eastAsia" w:ascii="宋体" w:hAnsi="宋体"/>
                <w:sz w:val="21"/>
                <w:szCs w:val="21"/>
              </w:rPr>
              <w:t>全自动立式高压灭菌器</w:t>
            </w:r>
          </w:p>
        </w:tc>
        <w:tc>
          <w:tcPr>
            <w:tcW w:w="6180" w:type="dxa"/>
            <w:vAlign w:val="top"/>
          </w:tcPr>
          <w:p>
            <w:pPr>
              <w:widowControl/>
              <w:jc w:val="left"/>
              <w:rPr>
                <w:rFonts w:hint="default" w:ascii="宋体" w:hAnsi="宋体" w:eastAsia="宋体" w:cs="宋体"/>
                <w:sz w:val="24"/>
                <w:szCs w:val="24"/>
                <w:lang w:val="en-US"/>
              </w:rPr>
            </w:pPr>
            <w:r>
              <w:rPr>
                <w:rFonts w:ascii="Arial" w:hAnsi="Arial" w:cs="Arial"/>
                <w:color w:val="333333"/>
                <w:sz w:val="20"/>
                <w:szCs w:val="20"/>
                <w:shd w:val="clear" w:color="auto" w:fill="FFFFFF"/>
              </w:rPr>
              <w:t>▲</w:t>
            </w:r>
            <w:r>
              <w:rPr>
                <w:rFonts w:hint="eastAsia" w:ascii="宋体" w:hAnsi="宋体" w:cs="宋体"/>
                <w:kern w:val="0"/>
                <w:sz w:val="24"/>
              </w:rPr>
              <w:t>1</w:t>
            </w:r>
            <w:r>
              <w:rPr>
                <w:rFonts w:ascii="宋体" w:hAnsi="宋体" w:cs="宋体"/>
                <w:kern w:val="0"/>
                <w:sz w:val="24"/>
              </w:rPr>
              <w:t>生产厂家</w:t>
            </w:r>
            <w:r>
              <w:rPr>
                <w:rFonts w:hint="eastAsia" w:ascii="宋体" w:hAnsi="宋体" w:cs="宋体"/>
                <w:kern w:val="0"/>
                <w:sz w:val="24"/>
              </w:rPr>
              <w:t>须</w:t>
            </w:r>
            <w:r>
              <w:rPr>
                <w:rFonts w:ascii="宋体" w:hAnsi="宋体" w:cs="宋体"/>
                <w:kern w:val="0"/>
                <w:sz w:val="24"/>
              </w:rPr>
              <w:t>具有</w:t>
            </w:r>
            <w:r>
              <w:rPr>
                <w:rFonts w:hint="eastAsia" w:ascii="宋体" w:hAnsi="宋体" w:cs="宋体"/>
                <w:kern w:val="0"/>
                <w:sz w:val="24"/>
              </w:rPr>
              <w:t>特种设备（压力容器）制造许可证</w:t>
            </w:r>
            <w:r>
              <w:rPr>
                <w:rFonts w:ascii="宋体" w:hAnsi="宋体" w:cs="宋体"/>
                <w:kern w:val="0"/>
                <w:sz w:val="24"/>
              </w:rPr>
              <w:t>（不</w:t>
            </w:r>
            <w:r>
              <w:rPr>
                <w:rFonts w:hint="eastAsia" w:ascii="宋体" w:hAnsi="宋体" w:cs="宋体"/>
                <w:kern w:val="0"/>
                <w:sz w:val="24"/>
              </w:rPr>
              <w:t>允许借用第三方资质</w:t>
            </w:r>
            <w:r>
              <w:rPr>
                <w:rFonts w:ascii="宋体" w:hAnsi="宋体" w:cs="宋体"/>
                <w:kern w:val="0"/>
                <w:sz w:val="24"/>
              </w:rPr>
              <w:t>）</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widowControl/>
              <w:jc w:val="left"/>
              <w:rPr>
                <w:rFonts w:hint="eastAsia" w:ascii="宋体" w:hAnsi="宋体" w:eastAsia="宋体" w:cs="宋体"/>
                <w:sz w:val="24"/>
                <w:szCs w:val="24"/>
              </w:rPr>
            </w:pPr>
            <w:r>
              <w:rPr>
                <w:rFonts w:hint="eastAsia" w:ascii="宋体" w:hAnsi="宋体" w:cs="宋体"/>
                <w:kern w:val="0"/>
                <w:sz w:val="24"/>
              </w:rPr>
              <w:t>2</w:t>
            </w:r>
            <w:r>
              <w:rPr>
                <w:rFonts w:ascii="宋体" w:hAnsi="宋体" w:cs="宋体"/>
                <w:kern w:val="0"/>
                <w:sz w:val="24"/>
              </w:rPr>
              <w:t>.容量:≥</w:t>
            </w:r>
            <w:r>
              <w:rPr>
                <w:rFonts w:hint="eastAsia" w:ascii="宋体" w:hAnsi="宋体" w:cs="宋体"/>
                <w:kern w:val="0"/>
                <w:sz w:val="24"/>
              </w:rPr>
              <w:t>85升,</w:t>
            </w:r>
            <w:r>
              <w:rPr>
                <w:rFonts w:ascii="宋体" w:hAnsi="宋体" w:cs="宋体"/>
                <w:kern w:val="0"/>
                <w:sz w:val="24"/>
              </w:rPr>
              <w:t>立式结构,底部带脚轮</w:t>
            </w:r>
            <w:r>
              <w:rPr>
                <w:rFonts w:hint="eastAsia" w:ascii="宋体" w:hAnsi="宋体" w:cs="宋体"/>
                <w:kern w:val="0"/>
                <w:sz w:val="24"/>
              </w:rPr>
              <w:t xml:space="preserve"> ，腔体直径</w:t>
            </w:r>
            <w:r>
              <w:rPr>
                <w:rFonts w:ascii="宋体" w:hAnsi="宋体" w:cs="宋体"/>
                <w:kern w:val="0"/>
                <w:sz w:val="24"/>
              </w:rPr>
              <w:t>≥</w:t>
            </w:r>
            <w:r>
              <w:rPr>
                <w:rFonts w:hint="eastAsia" w:ascii="宋体" w:hAnsi="宋体" w:cs="宋体"/>
                <w:kern w:val="0"/>
                <w:sz w:val="24"/>
              </w:rPr>
              <w:t>40CM 可</w:t>
            </w:r>
            <w:r>
              <w:rPr>
                <w:rFonts w:ascii="宋体" w:hAnsi="宋体" w:cs="宋体"/>
                <w:kern w:val="0"/>
                <w:sz w:val="24"/>
              </w:rPr>
              <w:t>放入</w:t>
            </w:r>
            <w:r>
              <w:rPr>
                <w:rFonts w:hint="eastAsia" w:ascii="宋体" w:hAnsi="宋体" w:cs="宋体"/>
                <w:kern w:val="0"/>
                <w:sz w:val="24"/>
              </w:rPr>
              <w:t>直径38CM,</w:t>
            </w:r>
            <w:r>
              <w:rPr>
                <w:rFonts w:ascii="宋体" w:hAnsi="宋体" w:cs="宋体"/>
                <w:kern w:val="0"/>
                <w:sz w:val="24"/>
              </w:rPr>
              <w:t>高度</w:t>
            </w:r>
            <w:r>
              <w:rPr>
                <w:rFonts w:hint="eastAsia" w:ascii="宋体" w:hAnsi="宋体" w:cs="宋体"/>
                <w:kern w:val="0"/>
                <w:sz w:val="24"/>
              </w:rPr>
              <w:t>40</w:t>
            </w:r>
            <w:r>
              <w:rPr>
                <w:rFonts w:ascii="宋体" w:hAnsi="宋体" w:cs="宋体"/>
                <w:kern w:val="0"/>
                <w:sz w:val="24"/>
              </w:rPr>
              <w:t>CM的灭菌</w:t>
            </w:r>
            <w:r>
              <w:rPr>
                <w:rFonts w:hint="eastAsia" w:ascii="宋体" w:hAnsi="宋体" w:cs="宋体"/>
                <w:kern w:val="0"/>
                <w:sz w:val="24"/>
              </w:rPr>
              <w:t>架</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rPr>
              <w:t>3</w:t>
            </w:r>
            <w:r>
              <w:rPr>
                <w:rFonts w:ascii="宋体" w:hAnsi="宋体" w:cs="宋体"/>
                <w:kern w:val="0"/>
                <w:sz w:val="24"/>
              </w:rPr>
              <w:t>.灭菌腔材料:SUS304不锈钢</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rPr>
              <w:t>4.开关盖方式：触拨式开关，垂直向上打开腔门（上掀式开盖）下压式关盖，节省实验室空间</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pStyle w:val="18"/>
              <w:jc w:val="left"/>
              <w:rPr>
                <w:rFonts w:hint="eastAsia" w:ascii="宋体" w:hAnsi="宋体" w:eastAsia="宋体" w:cs="宋体"/>
                <w:kern w:val="2"/>
                <w:sz w:val="24"/>
                <w:szCs w:val="24"/>
                <w:lang w:val="en-US" w:eastAsia="zh-CN" w:bidi="ar-SA"/>
              </w:rPr>
            </w:pPr>
            <w:r>
              <w:rPr>
                <w:rFonts w:hint="eastAsia" w:ascii="宋体" w:hAnsi="宋体" w:cs="宋体"/>
                <w:kern w:val="0"/>
                <w:sz w:val="24"/>
              </w:rPr>
              <w:t>5</w:t>
            </w:r>
            <w:r>
              <w:rPr>
                <w:rFonts w:ascii="宋体" w:hAnsi="宋体" w:cs="宋体"/>
                <w:kern w:val="0"/>
                <w:sz w:val="24"/>
              </w:rPr>
              <w:t>时间范围:灭菌时间</w:t>
            </w:r>
            <w:r>
              <w:rPr>
                <w:rFonts w:hint="eastAsia" w:ascii="宋体" w:hAnsi="宋体" w:cs="宋体"/>
                <w:kern w:val="0"/>
                <w:sz w:val="24"/>
              </w:rPr>
              <w:t>:</w:t>
            </w:r>
            <w:r>
              <w:rPr>
                <w:rFonts w:ascii="宋体" w:hAnsi="宋体" w:cs="宋体"/>
                <w:kern w:val="0"/>
                <w:sz w:val="24"/>
              </w:rPr>
              <w:t>1-6000分钟</w:t>
            </w:r>
            <w:r>
              <w:rPr>
                <w:rFonts w:hint="eastAsia" w:ascii="宋体" w:hAnsi="宋体" w:cs="宋体"/>
                <w:kern w:val="0"/>
                <w:sz w:val="24"/>
                <w:lang w:eastAsia="zh-CN"/>
              </w:rPr>
              <w:t>（</w:t>
            </w:r>
            <w:r>
              <w:rPr>
                <w:rFonts w:hint="eastAsia" w:ascii="宋体" w:hAnsi="宋体" w:cs="宋体"/>
                <w:kern w:val="0"/>
                <w:sz w:val="24"/>
                <w:lang w:val="en-US" w:eastAsia="zh-CN"/>
              </w:rPr>
              <w:t>或范围更大</w:t>
            </w:r>
            <w:r>
              <w:rPr>
                <w:rFonts w:hint="eastAsia" w:ascii="宋体" w:hAnsi="宋体" w:cs="宋体"/>
                <w:kern w:val="0"/>
                <w:sz w:val="24"/>
                <w:lang w:eastAsia="zh-CN"/>
              </w:rPr>
              <w:t>）</w:t>
            </w:r>
            <w:r>
              <w:rPr>
                <w:rFonts w:ascii="宋体" w:hAnsi="宋体" w:cs="宋体"/>
                <w:kern w:val="0"/>
                <w:sz w:val="24"/>
              </w:rPr>
              <w:t>,融化时间:1-6000分钟</w:t>
            </w:r>
            <w:r>
              <w:rPr>
                <w:rFonts w:hint="eastAsia" w:ascii="宋体" w:hAnsi="宋体" w:cs="宋体"/>
                <w:kern w:val="0"/>
                <w:sz w:val="24"/>
                <w:lang w:eastAsia="zh-CN"/>
              </w:rPr>
              <w:t>（</w:t>
            </w:r>
            <w:r>
              <w:rPr>
                <w:rFonts w:hint="eastAsia" w:ascii="宋体" w:hAnsi="宋体" w:cs="宋体"/>
                <w:kern w:val="0"/>
                <w:sz w:val="24"/>
                <w:lang w:val="en-US" w:eastAsia="zh-CN"/>
              </w:rPr>
              <w:t>或范围更大</w:t>
            </w:r>
            <w:r>
              <w:rPr>
                <w:rFonts w:hint="eastAsia" w:ascii="宋体" w:hAnsi="宋体" w:cs="宋体"/>
                <w:kern w:val="0"/>
                <w:sz w:val="24"/>
                <w:lang w:eastAsia="zh-CN"/>
              </w:rPr>
              <w:t>）</w:t>
            </w:r>
            <w:r>
              <w:rPr>
                <w:rFonts w:ascii="宋体" w:hAnsi="宋体" w:cs="宋体"/>
                <w:kern w:val="0"/>
                <w:sz w:val="24"/>
              </w:rPr>
              <w:t>,保温时间:1-9999分钟</w:t>
            </w:r>
            <w:r>
              <w:rPr>
                <w:rFonts w:hint="eastAsia" w:ascii="宋体" w:hAnsi="宋体" w:cs="宋体"/>
                <w:kern w:val="0"/>
                <w:sz w:val="24"/>
                <w:lang w:eastAsia="zh-CN"/>
              </w:rPr>
              <w:t>（</w:t>
            </w:r>
            <w:r>
              <w:rPr>
                <w:rFonts w:hint="eastAsia" w:ascii="宋体" w:hAnsi="宋体" w:cs="宋体"/>
                <w:kern w:val="0"/>
                <w:sz w:val="24"/>
                <w:lang w:val="en-US" w:eastAsia="zh-CN"/>
              </w:rPr>
              <w:t>或范围更大</w:t>
            </w:r>
            <w:r>
              <w:rPr>
                <w:rFonts w:hint="eastAsia" w:ascii="宋体" w:hAnsi="宋体" w:cs="宋体"/>
                <w:kern w:val="0"/>
                <w:sz w:val="24"/>
                <w:lang w:eastAsia="zh-CN"/>
              </w:rPr>
              <w:t>）</w:t>
            </w:r>
            <w:r>
              <w:rPr>
                <w:rFonts w:ascii="宋体" w:hAnsi="宋体" w:cs="宋体"/>
                <w:kern w:val="0"/>
                <w:sz w:val="24"/>
              </w:rPr>
              <w:t>，</w:t>
            </w:r>
            <w:r>
              <w:rPr>
                <w:rFonts w:hint="eastAsia" w:ascii="宋体" w:hAnsi="宋体" w:cs="宋体"/>
                <w:kern w:val="0"/>
                <w:sz w:val="24"/>
              </w:rPr>
              <w:t>定时器预置范围：0-6天延迟</w:t>
            </w:r>
            <w:r>
              <w:rPr>
                <w:rFonts w:hint="eastAsia" w:ascii="宋体" w:hAnsi="宋体" w:cs="宋体"/>
                <w:kern w:val="0"/>
                <w:sz w:val="24"/>
                <w:lang w:eastAsia="zh-CN"/>
              </w:rPr>
              <w:t>（</w:t>
            </w:r>
            <w:r>
              <w:rPr>
                <w:rFonts w:hint="eastAsia" w:ascii="宋体" w:hAnsi="宋体" w:cs="宋体"/>
                <w:kern w:val="0"/>
                <w:sz w:val="24"/>
                <w:lang w:val="en-US" w:eastAsia="zh-CN"/>
              </w:rPr>
              <w:t>或范围更大</w:t>
            </w:r>
            <w:r>
              <w:rPr>
                <w:rFonts w:hint="eastAsia" w:ascii="宋体" w:hAnsi="宋体" w:cs="宋体"/>
                <w:kern w:val="0"/>
                <w:sz w:val="24"/>
                <w:lang w:eastAsia="zh-CN"/>
              </w:rPr>
              <w:t>）</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b/>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widowControl/>
              <w:jc w:val="left"/>
              <w:rPr>
                <w:rFonts w:hint="eastAsia" w:ascii="宋体" w:hAnsi="宋体" w:eastAsia="宋体" w:cs="宋体"/>
                <w:kern w:val="2"/>
                <w:sz w:val="24"/>
                <w:szCs w:val="24"/>
                <w:lang w:val="en-US" w:eastAsia="zh-CN" w:bidi="ar-SA"/>
              </w:rPr>
            </w:pPr>
            <w:r>
              <w:rPr>
                <w:rFonts w:ascii="Arial" w:hAnsi="Arial" w:cs="Arial"/>
                <w:color w:val="333333"/>
                <w:sz w:val="20"/>
                <w:szCs w:val="20"/>
                <w:shd w:val="clear" w:color="auto" w:fill="FFFFFF"/>
              </w:rPr>
              <w:t>▲</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温度和压力: 最高工作温度</w:t>
            </w:r>
            <w:r>
              <w:rPr>
                <w:rFonts w:ascii="宋体" w:hAnsi="宋体" w:cs="宋体"/>
                <w:kern w:val="0"/>
                <w:sz w:val="24"/>
              </w:rPr>
              <w:t>≥13</w:t>
            </w: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 xml:space="preserve">  设计压力0.35Mpa,</w:t>
            </w:r>
            <w:r>
              <w:rPr>
                <w:rFonts w:ascii="宋体" w:hAnsi="宋体" w:cs="宋体"/>
                <w:kern w:val="0"/>
                <w:sz w:val="24"/>
              </w:rPr>
              <w:t>安全阀起跳压力≥</w:t>
            </w:r>
            <w:r>
              <w:rPr>
                <w:rFonts w:hint="eastAsia" w:ascii="宋体" w:hAnsi="宋体" w:cs="宋体"/>
                <w:kern w:val="0"/>
                <w:sz w:val="24"/>
              </w:rPr>
              <w:t>0.31Mpa</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rPr>
              <w:t>7.缺水双重保护:配备双水位传感器,</w:t>
            </w:r>
            <w:r>
              <w:rPr>
                <w:rFonts w:ascii="宋体" w:hAnsi="宋体" w:cs="宋体"/>
                <w:kern w:val="0"/>
                <w:sz w:val="24"/>
              </w:rPr>
              <w:t xml:space="preserve"> </w:t>
            </w:r>
            <w:r>
              <w:rPr>
                <w:rFonts w:hint="eastAsia" w:ascii="宋体" w:hAnsi="宋体" w:cs="宋体"/>
                <w:kern w:val="0"/>
                <w:sz w:val="24"/>
              </w:rPr>
              <w:t>防止干烧</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pStyle w:val="18"/>
              <w:jc w:val="left"/>
              <w:rPr>
                <w:rFonts w:hint="eastAsia" w:ascii="宋体" w:hAnsi="宋体" w:eastAsia="宋体" w:cs="宋体"/>
                <w:kern w:val="2"/>
                <w:sz w:val="24"/>
                <w:szCs w:val="24"/>
                <w:lang w:val="en-US" w:eastAsia="zh-CN" w:bidi="ar-SA"/>
              </w:rPr>
            </w:pPr>
            <w:r>
              <w:rPr>
                <w:rFonts w:hint="eastAsia" w:ascii="宋体" w:hAnsi="宋体" w:cs="宋体"/>
                <w:kern w:val="0"/>
                <w:sz w:val="24"/>
              </w:rPr>
              <w:t>8.记忆</w:t>
            </w:r>
            <w:r>
              <w:rPr>
                <w:rFonts w:ascii="宋体" w:hAnsi="宋体" w:cs="宋体"/>
                <w:kern w:val="0"/>
                <w:sz w:val="24"/>
              </w:rPr>
              <w:t>存储系统:</w:t>
            </w:r>
            <w:r>
              <w:rPr>
                <w:rFonts w:hint="eastAsia" w:ascii="宋体" w:hAnsi="宋体" w:cs="宋体"/>
                <w:kern w:val="0"/>
                <w:sz w:val="24"/>
              </w:rPr>
              <w:t>可记忆存储≥20条灭菌程序</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pStyle w:val="18"/>
              <w:jc w:val="left"/>
              <w:rPr>
                <w:rFonts w:hint="eastAsia" w:ascii="宋体" w:hAnsi="宋体" w:eastAsia="宋体" w:cs="宋体"/>
                <w:kern w:val="2"/>
                <w:sz w:val="24"/>
                <w:szCs w:val="24"/>
                <w:lang w:val="en-US" w:eastAsia="zh-CN" w:bidi="ar-SA"/>
              </w:rPr>
            </w:pPr>
            <w:r>
              <w:rPr>
                <w:rFonts w:hint="eastAsia" w:ascii="宋体" w:hAnsi="宋体" w:cs="宋体"/>
                <w:kern w:val="0"/>
                <w:sz w:val="24"/>
              </w:rPr>
              <w:t>9.</w:t>
            </w:r>
            <w:r>
              <w:rPr>
                <w:rFonts w:ascii="宋体" w:hAnsi="宋体" w:cs="宋体"/>
                <w:kern w:val="0"/>
                <w:sz w:val="24"/>
              </w:rPr>
              <w:t>六级排汽方式：灭菌结束</w:t>
            </w:r>
            <w:r>
              <w:rPr>
                <w:rFonts w:hint="eastAsia" w:ascii="宋体" w:hAnsi="宋体" w:cs="宋体"/>
                <w:kern w:val="0"/>
                <w:sz w:val="24"/>
              </w:rPr>
              <w:t>完成后，排气阀</w:t>
            </w:r>
            <w:r>
              <w:rPr>
                <w:rFonts w:ascii="宋体" w:hAnsi="宋体" w:cs="宋体"/>
                <w:kern w:val="0"/>
                <w:sz w:val="24"/>
              </w:rPr>
              <w:t>可按设定的</w:t>
            </w:r>
            <w:r>
              <w:rPr>
                <w:rFonts w:hint="eastAsia" w:ascii="宋体" w:hAnsi="宋体" w:cs="宋体"/>
                <w:kern w:val="0"/>
                <w:sz w:val="24"/>
              </w:rPr>
              <w:t>≥</w:t>
            </w:r>
            <w:r>
              <w:rPr>
                <w:rFonts w:ascii="宋体" w:hAnsi="宋体" w:cs="宋体"/>
                <w:kern w:val="0"/>
                <w:sz w:val="24"/>
              </w:rPr>
              <w:t>六</w:t>
            </w:r>
            <w:r>
              <w:rPr>
                <w:rFonts w:hint="eastAsia" w:ascii="宋体" w:hAnsi="宋体" w:cs="宋体"/>
                <w:kern w:val="0"/>
                <w:sz w:val="24"/>
              </w:rPr>
              <w:t>级</w:t>
            </w:r>
            <w:r>
              <w:rPr>
                <w:rFonts w:ascii="宋体" w:hAnsi="宋体" w:cs="宋体"/>
                <w:kern w:val="0"/>
                <w:sz w:val="24"/>
              </w:rPr>
              <w:t>排汽速度排汽</w:t>
            </w:r>
            <w:r>
              <w:rPr>
                <w:rFonts w:hint="eastAsia" w:ascii="宋体" w:hAnsi="宋体" w:cs="宋体"/>
                <w:kern w:val="0"/>
                <w:sz w:val="24"/>
              </w:rPr>
              <w:t>，同时在排气过程中排汽速度可随时进行手动调整</w:t>
            </w:r>
            <w:r>
              <w:rPr>
                <w:rFonts w:hint="eastAsia" w:ascii="宋体" w:hAnsi="宋体" w:cs="宋体"/>
                <w:kern w:val="0"/>
                <w:sz w:val="24"/>
                <w:lang w:eastAsia="zh-CN"/>
              </w:rPr>
              <w:t>；</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pStyle w:val="18"/>
              <w:jc w:val="left"/>
              <w:rPr>
                <w:rFonts w:hint="eastAsia" w:ascii="宋体" w:hAnsi="宋体" w:eastAsia="宋体" w:cs="宋体"/>
                <w:kern w:val="2"/>
                <w:sz w:val="24"/>
                <w:szCs w:val="24"/>
                <w:lang w:val="en-US" w:eastAsia="zh-CN" w:bidi="ar-SA"/>
              </w:rPr>
            </w:pPr>
            <w:r>
              <w:rPr>
                <w:rFonts w:ascii="Arial" w:hAnsi="Arial" w:cs="Arial"/>
                <w:color w:val="333333"/>
                <w:sz w:val="20"/>
                <w:szCs w:val="20"/>
                <w:shd w:val="clear" w:color="auto" w:fill="FFFFFF"/>
              </w:rPr>
              <w:t>▲</w:t>
            </w:r>
            <w:r>
              <w:rPr>
                <w:rFonts w:hint="eastAsia" w:ascii="宋体" w:hAnsi="宋体" w:cs="宋体"/>
                <w:kern w:val="0"/>
                <w:sz w:val="24"/>
              </w:rPr>
              <w:t>10.具有废弃物灭菌模式：</w:t>
            </w:r>
            <w:r>
              <w:rPr>
                <w:rFonts w:hint="eastAsia" w:ascii="宋体" w:hAnsi="宋体" w:cs="宋体"/>
                <w:kern w:val="0"/>
                <w:sz w:val="24"/>
                <w:lang w:val="en-US" w:eastAsia="zh-CN"/>
              </w:rPr>
              <w:t>具有</w:t>
            </w:r>
            <w:r>
              <w:rPr>
                <w:rFonts w:hint="eastAsia" w:ascii="宋体" w:hAnsi="宋体" w:cs="宋体"/>
                <w:kern w:val="0"/>
                <w:sz w:val="24"/>
              </w:rPr>
              <w:t>专用的废弃物灭菌程序，100℃以下不排放冷空气，灭菌完成可以设定不排气，蒸汽内循环，确保实验室空气洁净度。</w:t>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widowControl/>
              <w:jc w:val="left"/>
              <w:rPr>
                <w:rFonts w:hint="eastAsia" w:ascii="宋体" w:hAnsi="宋体" w:eastAsia="宋体" w:cs="宋体"/>
                <w:kern w:val="2"/>
                <w:sz w:val="24"/>
                <w:szCs w:val="24"/>
                <w:lang w:val="en-US" w:eastAsia="zh-CN" w:bidi="ar-SA"/>
              </w:rPr>
            </w:pPr>
            <w:r>
              <w:rPr>
                <w:rFonts w:hint="eastAsia" w:ascii="宋体" w:hAnsi="宋体" w:cs="宋体"/>
                <w:kern w:val="0"/>
                <w:sz w:val="24"/>
              </w:rPr>
              <w:t>11.安全装置：</w:t>
            </w:r>
            <w:r>
              <w:rPr>
                <w:rFonts w:hint="eastAsia" w:ascii="宋体" w:hAnsi="宋体" w:cs="宋体"/>
                <w:sz w:val="24"/>
                <w:lang w:val="en-US" w:eastAsia="zh-CN"/>
              </w:rPr>
              <w:t>具有包括但不限于</w:t>
            </w:r>
            <w:r>
              <w:rPr>
                <w:rFonts w:hint="eastAsia" w:ascii="宋体" w:hAnsi="宋体" w:cs="宋体"/>
                <w:sz w:val="24"/>
              </w:rPr>
              <w:t>闭盖</w:t>
            </w:r>
            <w:r>
              <w:rPr>
                <w:rFonts w:hint="eastAsia" w:ascii="宋体" w:hAnsi="宋体" w:cs="宋体"/>
                <w:kern w:val="0"/>
                <w:sz w:val="24"/>
              </w:rPr>
              <w:t>检查系统，</w:t>
            </w:r>
            <w:r>
              <w:rPr>
                <w:rFonts w:hint="eastAsia" w:ascii="宋体" w:hAnsi="宋体" w:cs="宋体"/>
                <w:sz w:val="24"/>
              </w:rPr>
              <w:t>电动式双内锁，冷却锁OPEN温度，缺水保护 ，过压双重保护，</w:t>
            </w:r>
            <w:r>
              <w:rPr>
                <w:rFonts w:hint="eastAsia" w:ascii="宋体" w:hAnsi="宋体" w:cs="宋体"/>
                <w:kern w:val="0"/>
                <w:sz w:val="24"/>
              </w:rPr>
              <w:t>自动故障检测系统，</w:t>
            </w:r>
            <w:r>
              <w:rPr>
                <w:rFonts w:ascii="宋体" w:hAnsi="宋体" w:cs="宋体"/>
                <w:kern w:val="0"/>
                <w:sz w:val="24"/>
              </w:rPr>
              <w:t>后台安全测试程序</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温度监控漏电，过流与短路保护</w:t>
            </w:r>
            <w:r>
              <w:rPr>
                <w:rFonts w:ascii="宋体" w:hAnsi="宋体" w:cs="宋体"/>
                <w:kern w:val="0"/>
                <w:sz w:val="24"/>
              </w:rPr>
              <w:br w:type="textWrapping"/>
            </w:r>
          </w:p>
        </w:tc>
        <w:tc>
          <w:tcPr>
            <w:tcW w:w="1250"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vAlign w:val="center"/>
          </w:tcPr>
          <w:p>
            <w:pPr>
              <w:widowControl/>
              <w:jc w:val="center"/>
              <w:rPr>
                <w:rFonts w:ascii="宋体" w:hAnsi="宋体"/>
                <w:kern w:val="0"/>
                <w:szCs w:val="21"/>
              </w:rPr>
            </w:pPr>
          </w:p>
        </w:tc>
        <w:tc>
          <w:tcPr>
            <w:tcW w:w="1276" w:type="dxa"/>
            <w:vMerge w:val="continue"/>
            <w:vAlign w:val="center"/>
          </w:tcPr>
          <w:p>
            <w:pPr>
              <w:widowControl/>
              <w:jc w:val="center"/>
              <w:rPr>
                <w:rFonts w:ascii="宋体" w:hAnsi="宋体"/>
                <w:kern w:val="0"/>
                <w:szCs w:val="21"/>
              </w:rPr>
            </w:pPr>
          </w:p>
        </w:tc>
        <w:tc>
          <w:tcPr>
            <w:tcW w:w="6180" w:type="dxa"/>
            <w:vAlign w:val="top"/>
          </w:tcPr>
          <w:p>
            <w:pPr>
              <w:pStyle w:val="18"/>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SA"/>
              </w:rPr>
              <w:t>★</w:t>
            </w:r>
            <w:r>
              <w:rPr>
                <w:rFonts w:hint="eastAsia" w:hAnsi="宋体" w:cs="宋体"/>
                <w:kern w:val="0"/>
                <w:sz w:val="24"/>
                <w:szCs w:val="24"/>
                <w:lang w:val="en-US" w:eastAsia="zh-CN" w:bidi="ar-SA"/>
              </w:rPr>
              <w:t>12</w:t>
            </w:r>
            <w:r>
              <w:rPr>
                <w:rFonts w:hint="eastAsia" w:ascii="宋体" w:hAnsi="宋体" w:eastAsia="宋体" w:cs="宋体"/>
                <w:kern w:val="0"/>
                <w:sz w:val="24"/>
                <w:szCs w:val="24"/>
                <w:lang w:val="en-US" w:eastAsia="zh-CN" w:bidi="ar-SA"/>
              </w:rPr>
              <w:t>中标供应商办理高压容器使用证。</w:t>
            </w:r>
          </w:p>
        </w:tc>
        <w:tc>
          <w:tcPr>
            <w:tcW w:w="1250" w:type="dxa"/>
            <w:vAlign w:val="center"/>
          </w:tcPr>
          <w:p>
            <w:pPr>
              <w:jc w:val="center"/>
              <w:rPr>
                <w:rFonts w:hint="default" w:ascii="宋体" w:hAnsi="宋体" w:eastAsia="宋体"/>
                <w:szCs w:val="21"/>
                <w:lang w:val="en-US" w:eastAsia="zh-CN"/>
              </w:rPr>
            </w:pPr>
          </w:p>
        </w:tc>
      </w:tr>
    </w:tbl>
    <w:p>
      <w:pPr>
        <w:widowControl/>
        <w:jc w:val="left"/>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ascii="宋体" w:hAnsi="宋体"/>
                <w:szCs w:val="21"/>
              </w:rPr>
              <w:t>1</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rPr>
              <w:t>主机</w:t>
            </w:r>
          </w:p>
        </w:tc>
        <w:tc>
          <w:tcPr>
            <w:tcW w:w="709" w:type="dxa"/>
            <w:vAlign w:val="center"/>
          </w:tcPr>
          <w:p>
            <w:pPr>
              <w:jc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2</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rPr>
              <w:t>台</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ascii="宋体" w:hAnsi="宋体"/>
                <w:szCs w:val="21"/>
              </w:rPr>
              <w:t>2</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rPr>
              <w:t>不锈钢网篮</w:t>
            </w:r>
          </w:p>
        </w:tc>
        <w:tc>
          <w:tcPr>
            <w:tcW w:w="709" w:type="dxa"/>
            <w:vAlign w:val="center"/>
          </w:tcPr>
          <w:p>
            <w:pPr>
              <w:jc w:val="center"/>
              <w:rPr>
                <w:rFonts w:hint="default" w:ascii="宋体" w:hAnsi="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4</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个</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ascii="宋体" w:hAnsi="宋体"/>
                <w:szCs w:val="21"/>
              </w:rPr>
              <w:t>3</w:t>
            </w:r>
          </w:p>
        </w:tc>
        <w:tc>
          <w:tcPr>
            <w:tcW w:w="496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rPr>
              <w:t>废液瓶</w:t>
            </w:r>
          </w:p>
        </w:tc>
        <w:tc>
          <w:tcPr>
            <w:tcW w:w="709" w:type="dxa"/>
            <w:vAlign w:val="center"/>
          </w:tcPr>
          <w:p>
            <w:pPr>
              <w:jc w:val="center"/>
              <w:rPr>
                <w:rFonts w:hint="default" w:ascii="宋体" w:hAnsi="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2</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个</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宋体" w:hAnsi="宋体"/>
                <w:szCs w:val="21"/>
              </w:rPr>
              <w:t>4</w:t>
            </w:r>
          </w:p>
        </w:tc>
        <w:tc>
          <w:tcPr>
            <w:tcW w:w="4961"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rPr>
              <w:t>排水软管</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lang w:val="en-US" w:eastAsia="zh-CN"/>
              </w:rPr>
              <w:t>4</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lang w:val="en-US" w:eastAsia="zh-CN"/>
              </w:rPr>
              <w:t>条</w:t>
            </w:r>
          </w:p>
        </w:tc>
        <w:tc>
          <w:tcPr>
            <w:tcW w:w="1011"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ascii="宋体" w:hAnsi="宋体"/>
                <w:szCs w:val="21"/>
              </w:rPr>
              <w:t>5</w:t>
            </w:r>
          </w:p>
        </w:tc>
        <w:tc>
          <w:tcPr>
            <w:tcW w:w="4961"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rPr>
              <w:t>排气软管</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lang w:val="en-US" w:eastAsia="zh-CN"/>
              </w:rPr>
              <w:t>2</w:t>
            </w:r>
          </w:p>
        </w:tc>
        <w:tc>
          <w:tcPr>
            <w:tcW w:w="709"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szCs w:val="21"/>
                <w:lang w:val="en-US" w:eastAsia="zh-CN"/>
              </w:rPr>
              <w:t>条</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ascii="宋体" w:hAnsi="宋体"/>
                <w:szCs w:val="21"/>
              </w:rPr>
              <w:t>6</w:t>
            </w:r>
          </w:p>
        </w:tc>
        <w:tc>
          <w:tcPr>
            <w:tcW w:w="4961" w:type="dxa"/>
            <w:vAlign w:val="center"/>
          </w:tcPr>
          <w:p>
            <w:pPr>
              <w:jc w:val="center"/>
              <w:rPr>
                <w:rFonts w:hint="eastAsia" w:ascii="宋体" w:hAnsi="宋体"/>
                <w:sz w:val="24"/>
              </w:rPr>
            </w:pPr>
            <w:r>
              <w:rPr>
                <w:rFonts w:hint="eastAsia" w:ascii="宋体" w:hAnsi="宋体"/>
                <w:szCs w:val="21"/>
              </w:rPr>
              <w:t>水位板</w:t>
            </w:r>
          </w:p>
        </w:tc>
        <w:tc>
          <w:tcPr>
            <w:tcW w:w="709" w:type="dxa"/>
            <w:vAlign w:val="center"/>
          </w:tcPr>
          <w:p>
            <w:pPr>
              <w:jc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2</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块</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ascii="宋体" w:hAnsi="宋体"/>
                <w:szCs w:val="21"/>
              </w:rPr>
              <w:t>7</w:t>
            </w:r>
          </w:p>
        </w:tc>
        <w:tc>
          <w:tcPr>
            <w:tcW w:w="4961" w:type="dxa"/>
            <w:vAlign w:val="center"/>
          </w:tcPr>
          <w:p>
            <w:pPr>
              <w:jc w:val="center"/>
              <w:rPr>
                <w:rFonts w:hint="eastAsia" w:ascii="宋体" w:hAnsi="宋体"/>
                <w:sz w:val="24"/>
              </w:rPr>
            </w:pPr>
            <w:r>
              <w:rPr>
                <w:rFonts w:hint="eastAsia" w:ascii="宋体" w:hAnsi="宋体"/>
                <w:szCs w:val="21"/>
              </w:rPr>
              <w:t>说明书</w:t>
            </w:r>
          </w:p>
        </w:tc>
        <w:tc>
          <w:tcPr>
            <w:tcW w:w="709" w:type="dxa"/>
            <w:vAlign w:val="center"/>
          </w:tcPr>
          <w:p>
            <w:pPr>
              <w:jc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3</w:t>
            </w:r>
          </w:p>
        </w:tc>
        <w:tc>
          <w:tcPr>
            <w:tcW w:w="709"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r>
              <w:rPr>
                <w:rFonts w:hint="eastAsia" w:ascii="宋体" w:hAnsi="宋体"/>
                <w:szCs w:val="21"/>
                <w:lang w:val="en-US" w:eastAsia="zh-CN"/>
              </w:rPr>
              <w:t>本</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785" w:type="dxa"/>
            <w:vAlign w:val="center"/>
          </w:tcPr>
          <w:p>
            <w:pPr>
              <w:jc w:val="center"/>
              <w:rPr>
                <w:rFonts w:ascii="宋体" w:hAnsi="Times New Roman" w:eastAsia="宋体" w:cs="Times New Roman"/>
                <w:kern w:val="2"/>
                <w:sz w:val="21"/>
                <w:szCs w:val="21"/>
                <w:lang w:val="en-US" w:eastAsia="zh-CN" w:bidi="ar-SA"/>
              </w:rPr>
            </w:pPr>
            <w:r>
              <w:rPr>
                <w:rFonts w:ascii="宋体" w:hAnsi="宋体"/>
                <w:szCs w:val="21"/>
              </w:rPr>
              <w:t>8</w:t>
            </w:r>
          </w:p>
        </w:tc>
        <w:tc>
          <w:tcPr>
            <w:tcW w:w="4961" w:type="dxa"/>
            <w:vAlign w:val="center"/>
          </w:tcPr>
          <w:p>
            <w:pPr>
              <w:jc w:val="center"/>
              <w:rPr>
                <w:rFonts w:hint="eastAsia" w:ascii="宋体" w:hAnsi="Times New Roman" w:eastAsia="宋体" w:cs="Times New Roman"/>
                <w:kern w:val="2"/>
                <w:sz w:val="21"/>
                <w:szCs w:val="21"/>
                <w:lang w:val="en-US" w:eastAsia="zh-CN" w:bidi="ar-SA"/>
              </w:rPr>
            </w:pPr>
            <w:r>
              <w:rPr>
                <w:rFonts w:hint="eastAsia" w:ascii="宋体" w:hAnsi="宋体"/>
                <w:szCs w:val="21"/>
              </w:rPr>
              <w:t>电源线</w:t>
            </w:r>
          </w:p>
        </w:tc>
        <w:tc>
          <w:tcPr>
            <w:tcW w:w="709" w:type="dxa"/>
            <w:vAlign w:val="center"/>
          </w:tcPr>
          <w:p>
            <w:pPr>
              <w:jc w:val="center"/>
              <w:rPr>
                <w:rFonts w:hint="default" w:ascii="宋体" w:hAnsi="Times New Roman" w:eastAsia="宋体" w:cs="Times New Roman"/>
                <w:kern w:val="2"/>
                <w:sz w:val="21"/>
                <w:szCs w:val="21"/>
                <w:lang w:val="en-US" w:eastAsia="zh-CN" w:bidi="ar-SA"/>
              </w:rPr>
            </w:pPr>
            <w:r>
              <w:rPr>
                <w:rFonts w:hint="eastAsia" w:ascii="宋体" w:hAnsi="宋体"/>
                <w:szCs w:val="21"/>
                <w:lang w:val="en-US" w:eastAsia="zh-CN"/>
              </w:rPr>
              <w:t>3</w:t>
            </w:r>
          </w:p>
        </w:tc>
        <w:tc>
          <w:tcPr>
            <w:tcW w:w="709" w:type="dxa"/>
            <w:vAlign w:val="center"/>
          </w:tcPr>
          <w:p>
            <w:pPr>
              <w:jc w:val="center"/>
              <w:rPr>
                <w:rFonts w:ascii="宋体" w:hAnsi="宋体"/>
                <w:szCs w:val="21"/>
              </w:rPr>
            </w:pPr>
            <w:r>
              <w:rPr>
                <w:rFonts w:hint="eastAsia" w:ascii="宋体" w:hAnsi="宋体"/>
                <w:szCs w:val="21"/>
                <w:lang w:val="en-US" w:eastAsia="zh-CN"/>
              </w:rPr>
              <w:t>根</w:t>
            </w:r>
          </w:p>
        </w:tc>
        <w:tc>
          <w:tcPr>
            <w:tcW w:w="1011" w:type="dxa"/>
            <w:vAlign w:val="center"/>
          </w:tcPr>
          <w:p>
            <w:pPr>
              <w:jc w:val="center"/>
              <w:rPr>
                <w:rFonts w:hint="eastAsia" w:ascii="宋体" w:hAnsi="宋体" w:cs="Times New Roman"/>
                <w:color w:val="000000" w:themeColor="text1"/>
                <w:szCs w:val="21"/>
                <w:lang w:val="en-US" w:eastAsia="zh-CN"/>
                <w14:textFill>
                  <w14:solidFill>
                    <w14:schemeClr w14:val="tx1"/>
                  </w14:solidFill>
                </w14:textFill>
              </w:rPr>
            </w:pPr>
          </w:p>
        </w:tc>
      </w:tr>
    </w:tbl>
    <w:p>
      <w:pPr>
        <w:widowControl/>
        <w:jc w:val="left"/>
        <w:rPr>
          <w:rFonts w:ascii="宋体" w:hAnsi="宋体"/>
          <w:kern w:val="0"/>
          <w:szCs w:val="21"/>
        </w:rPr>
      </w:pPr>
    </w:p>
    <w:p>
      <w:pPr>
        <w:pStyle w:val="2"/>
        <w:ind w:left="0" w:leftChars="0" w:firstLine="0" w:firstLineChars="0"/>
        <w:rPr>
          <w:rFonts w:ascii="宋体" w:hAnsi="宋体"/>
          <w:kern w:val="0"/>
          <w:szCs w:val="21"/>
        </w:rPr>
      </w:pPr>
    </w:p>
    <w:p>
      <w:pPr>
        <w:jc w:val="center"/>
      </w:pPr>
    </w:p>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1"/>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1"/>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0"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879" w:type="pct"/>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925"/>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6" w:type="pct"/>
            <w:vAlign w:val="center"/>
          </w:tcPr>
          <w:p>
            <w:pPr>
              <w:jc w:val="center"/>
              <w:rPr>
                <w:b/>
                <w:color w:val="auto"/>
                <w:highlight w:val="none"/>
              </w:rPr>
            </w:pPr>
            <w:r>
              <w:rPr>
                <w:rFonts w:hint="eastAsia"/>
                <w:b/>
                <w:color w:val="auto"/>
                <w:highlight w:val="none"/>
              </w:rPr>
              <w:t>序号</w:t>
            </w:r>
          </w:p>
        </w:tc>
        <w:tc>
          <w:tcPr>
            <w:tcW w:w="990" w:type="pct"/>
            <w:vAlign w:val="center"/>
          </w:tcPr>
          <w:p>
            <w:pPr>
              <w:jc w:val="center"/>
              <w:rPr>
                <w:b/>
                <w:color w:val="auto"/>
                <w:highlight w:val="none"/>
              </w:rPr>
            </w:pPr>
            <w:r>
              <w:rPr>
                <w:rFonts w:hint="eastAsia"/>
                <w:b/>
                <w:color w:val="auto"/>
                <w:highlight w:val="none"/>
              </w:rPr>
              <w:t>目录</w:t>
            </w:r>
          </w:p>
        </w:tc>
        <w:tc>
          <w:tcPr>
            <w:tcW w:w="336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restart"/>
            <w:vAlign w:val="center"/>
          </w:tcPr>
          <w:p>
            <w:pPr>
              <w:jc w:val="center"/>
              <w:rPr>
                <w:b/>
                <w:color w:val="auto"/>
                <w:highlight w:val="none"/>
              </w:rPr>
            </w:pPr>
            <w:r>
              <w:rPr>
                <w:rFonts w:hint="eastAsia"/>
                <w:b/>
                <w:color w:val="auto"/>
                <w:highlight w:val="none"/>
              </w:rPr>
              <w:t>（一）免费保修期内售后服务要求</w:t>
            </w:r>
          </w:p>
        </w:tc>
        <w:tc>
          <w:tcPr>
            <w:tcW w:w="990" w:type="pct"/>
            <w:vAlign w:val="center"/>
          </w:tcPr>
          <w:p>
            <w:pPr>
              <w:jc w:val="center"/>
              <w:rPr>
                <w:color w:val="auto"/>
                <w:highlight w:val="none"/>
              </w:rPr>
            </w:pPr>
            <w:r>
              <w:rPr>
                <w:rFonts w:hint="eastAsia"/>
                <w:color w:val="auto"/>
                <w:highlight w:val="none"/>
              </w:rPr>
              <w:t>免费保修期</w:t>
            </w:r>
          </w:p>
        </w:tc>
        <w:tc>
          <w:tcPr>
            <w:tcW w:w="336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w:t>
            </w:r>
            <w:r>
              <w:rPr>
                <w:rFonts w:hint="eastAsia"/>
                <w:b/>
                <w:bCs/>
                <w:color w:val="auto"/>
                <w:szCs w:val="21"/>
                <w:highlight w:val="none"/>
                <w:u w:val="single"/>
                <w:lang w:val="en-US" w:eastAsia="zh-CN"/>
              </w:rPr>
              <w:t>4</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响应时间</w:t>
            </w:r>
          </w:p>
        </w:tc>
        <w:tc>
          <w:tcPr>
            <w:tcW w:w="336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其他</w:t>
            </w:r>
          </w:p>
        </w:tc>
        <w:tc>
          <w:tcPr>
            <w:tcW w:w="336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46" w:type="pct"/>
            <w:vMerge w:val="continue"/>
            <w:vAlign w:val="center"/>
          </w:tcPr>
          <w:p>
            <w:pPr>
              <w:jc w:val="center"/>
              <w:rPr>
                <w:b/>
                <w:color w:val="auto"/>
                <w:highlight w:val="none"/>
              </w:rPr>
            </w:pPr>
          </w:p>
        </w:tc>
        <w:tc>
          <w:tcPr>
            <w:tcW w:w="990" w:type="pct"/>
            <w:vMerge w:val="continue"/>
            <w:vAlign w:val="center"/>
          </w:tcPr>
          <w:p>
            <w:pPr>
              <w:rPr>
                <w:color w:val="auto"/>
                <w:highlight w:val="none"/>
              </w:rPr>
            </w:pPr>
          </w:p>
        </w:tc>
        <w:tc>
          <w:tcPr>
            <w:tcW w:w="336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6" w:type="pct"/>
            <w:vMerge w:val="restart"/>
            <w:vAlign w:val="center"/>
          </w:tcPr>
          <w:p>
            <w:pPr>
              <w:jc w:val="center"/>
              <w:rPr>
                <w:b/>
                <w:color w:val="auto"/>
                <w:highlight w:val="none"/>
              </w:rPr>
            </w:pPr>
            <w:r>
              <w:rPr>
                <w:rFonts w:hint="eastAsia"/>
                <w:b/>
                <w:color w:val="auto"/>
                <w:highlight w:val="none"/>
              </w:rPr>
              <w:t>（二）免费保修期外售后服务要求</w:t>
            </w:r>
          </w:p>
        </w:tc>
        <w:tc>
          <w:tcPr>
            <w:tcW w:w="990" w:type="pct"/>
            <w:vAlign w:val="center"/>
          </w:tcPr>
          <w:p>
            <w:pPr>
              <w:jc w:val="center"/>
              <w:rPr>
                <w:color w:val="auto"/>
                <w:highlight w:val="none"/>
              </w:rPr>
            </w:pPr>
            <w:r>
              <w:rPr>
                <w:rFonts w:hint="eastAsia"/>
                <w:color w:val="auto"/>
                <w:highlight w:val="none"/>
              </w:rPr>
              <w:t>软件升级</w:t>
            </w:r>
          </w:p>
        </w:tc>
        <w:tc>
          <w:tcPr>
            <w:tcW w:w="336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软件合法性</w:t>
            </w:r>
          </w:p>
        </w:tc>
        <w:tc>
          <w:tcPr>
            <w:tcW w:w="336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Align w:val="center"/>
          </w:tcPr>
          <w:p>
            <w:pPr>
              <w:jc w:val="center"/>
              <w:rPr>
                <w:b/>
                <w:color w:val="auto"/>
                <w:highlight w:val="none"/>
              </w:rPr>
            </w:pPr>
            <w:r>
              <w:rPr>
                <w:rFonts w:hint="eastAsia"/>
                <w:color w:val="auto"/>
                <w:highlight w:val="none"/>
              </w:rPr>
              <w:t>培训</w:t>
            </w:r>
          </w:p>
        </w:tc>
        <w:tc>
          <w:tcPr>
            <w:tcW w:w="336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售后服务</w:t>
            </w:r>
          </w:p>
        </w:tc>
        <w:tc>
          <w:tcPr>
            <w:tcW w:w="336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restart"/>
            <w:vAlign w:val="center"/>
          </w:tcPr>
          <w:p>
            <w:pPr>
              <w:jc w:val="center"/>
              <w:rPr>
                <w:b/>
                <w:color w:val="auto"/>
                <w:highlight w:val="none"/>
              </w:rPr>
            </w:pPr>
            <w:r>
              <w:rPr>
                <w:rFonts w:hint="eastAsia"/>
                <w:b/>
                <w:color w:val="auto"/>
                <w:highlight w:val="none"/>
              </w:rPr>
              <w:t>（三）其他商务要求</w:t>
            </w:r>
          </w:p>
        </w:tc>
        <w:tc>
          <w:tcPr>
            <w:tcW w:w="990" w:type="pct"/>
            <w:vAlign w:val="center"/>
          </w:tcPr>
          <w:p>
            <w:pPr>
              <w:jc w:val="center"/>
              <w:rPr>
                <w:color w:val="auto"/>
                <w:highlight w:val="none"/>
              </w:rPr>
            </w:pPr>
            <w:r>
              <w:rPr>
                <w:rFonts w:hint="eastAsia"/>
                <w:color w:val="auto"/>
                <w:highlight w:val="none"/>
              </w:rPr>
              <w:t>关于交货</w:t>
            </w:r>
          </w:p>
        </w:tc>
        <w:tc>
          <w:tcPr>
            <w:tcW w:w="336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30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46" w:type="pct"/>
            <w:vMerge w:val="continue"/>
            <w:vAlign w:val="center"/>
          </w:tcPr>
          <w:p>
            <w:pPr>
              <w:jc w:val="center"/>
              <w:rPr>
                <w:b/>
                <w:color w:val="auto"/>
                <w:highlight w:val="none"/>
              </w:rPr>
            </w:pPr>
          </w:p>
        </w:tc>
        <w:tc>
          <w:tcPr>
            <w:tcW w:w="990" w:type="pct"/>
            <w:vAlign w:val="center"/>
          </w:tcPr>
          <w:p>
            <w:pPr>
              <w:jc w:val="center"/>
              <w:rPr>
                <w:color w:val="auto"/>
                <w:highlight w:val="none"/>
              </w:rPr>
            </w:pPr>
            <w:r>
              <w:rPr>
                <w:rFonts w:hint="eastAsia"/>
                <w:color w:val="auto"/>
                <w:highlight w:val="none"/>
              </w:rPr>
              <w:t>报价</w:t>
            </w:r>
          </w:p>
        </w:tc>
        <w:tc>
          <w:tcPr>
            <w:tcW w:w="336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w:t>
            </w:r>
            <w:r>
              <w:rPr>
                <w:rFonts w:hint="eastAsia"/>
                <w:bCs/>
                <w:color w:val="auto"/>
                <w:szCs w:val="21"/>
                <w:highlight w:val="none"/>
                <w:lang w:eastAsia="zh-CN"/>
              </w:rPr>
              <w:t>，</w:t>
            </w:r>
            <w:r>
              <w:rPr>
                <w:rFonts w:hint="eastAsia" w:ascii="Times New Roman" w:hAnsi="Times New Roman" w:cs="Times New Roman"/>
                <w:bCs/>
                <w:color w:val="auto"/>
                <w:szCs w:val="21"/>
                <w:highlight w:val="none"/>
                <w:lang w:val="en-US" w:eastAsia="zh-CN"/>
              </w:rPr>
              <w:t>办理高压容器使用证</w:t>
            </w:r>
            <w:r>
              <w:rPr>
                <w:rFonts w:hint="eastAsia" w:cs="Times New Roman"/>
                <w:bCs/>
                <w:color w:val="auto"/>
                <w:szCs w:val="21"/>
                <w:highlight w:val="none"/>
                <w:lang w:val="en-US" w:eastAsia="zh-CN"/>
              </w:rPr>
              <w:t>相关费用</w:t>
            </w:r>
            <w:r>
              <w:rPr>
                <w:rFonts w:hint="eastAsia" w:ascii="Times New Roman" w:hAnsi="Times New Roman" w:cs="Times New Roman"/>
                <w:bCs/>
                <w:color w:val="auto"/>
                <w:szCs w:val="21"/>
                <w:highlight w:val="none"/>
              </w:rPr>
              <w:t>及技术服务费、机房改造费和一切不可预见费等一切费用，项目结算时不做任何单价或费用的调整。</w:t>
            </w:r>
            <w:r>
              <w:rPr>
                <w:rFonts w:hint="eastAsia" w:ascii="Times New Roman" w:hAnsi="Times New Roman" w:cs="Times New Roman"/>
                <w:bCs/>
                <w:color w:val="auto"/>
                <w:szCs w:val="21"/>
                <w:highlight w:val="none"/>
                <w:lang w:eastAsia="zh-CN"/>
              </w:rPr>
              <w:t>中标人</w:t>
            </w:r>
            <w:r>
              <w:rPr>
                <w:rFonts w:hint="eastAsia" w:ascii="Times New Roman" w:hAnsi="Times New Roman" w:cs="Times New Roman"/>
                <w:bCs/>
                <w:color w:val="auto"/>
                <w:szCs w:val="21"/>
                <w:highlight w:val="none"/>
              </w:rPr>
              <w:t>的投标总报价高于</w:t>
            </w:r>
            <w:r>
              <w:rPr>
                <w:rFonts w:hint="eastAsia" w:ascii="Times New Roman" w:hAnsi="Times New Roman" w:cs="Times New Roman"/>
                <w:bCs/>
                <w:color w:val="auto"/>
                <w:szCs w:val="21"/>
                <w:highlight w:val="none"/>
                <w:lang w:eastAsia="zh-CN"/>
              </w:rPr>
              <w:t>预算</w:t>
            </w:r>
            <w:r>
              <w:rPr>
                <w:rFonts w:hint="eastAsia" w:ascii="Times New Roman" w:hAnsi="Times New Roman" w:cs="Times New Roman"/>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color w:val="auto"/>
                <w:highlight w:val="none"/>
              </w:rPr>
            </w:pPr>
            <w:r>
              <w:rPr>
                <w:rFonts w:hint="eastAsia"/>
                <w:color w:val="auto"/>
                <w:highlight w:val="none"/>
              </w:rPr>
              <w:t>关于验收</w:t>
            </w:r>
          </w:p>
        </w:tc>
        <w:tc>
          <w:tcPr>
            <w:tcW w:w="336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46" w:type="pct"/>
            <w:vMerge w:val="continue"/>
            <w:vAlign w:val="center"/>
          </w:tcPr>
          <w:p>
            <w:pPr>
              <w:jc w:val="center"/>
              <w:rPr>
                <w:b/>
                <w:color w:val="auto"/>
                <w:highlight w:val="none"/>
              </w:rPr>
            </w:pPr>
          </w:p>
        </w:tc>
        <w:tc>
          <w:tcPr>
            <w:tcW w:w="990" w:type="pct"/>
            <w:vMerge w:val="continue"/>
          </w:tcPr>
          <w:p>
            <w:pPr>
              <w:rPr>
                <w:b/>
                <w:color w:val="auto"/>
                <w:highlight w:val="none"/>
              </w:rPr>
            </w:pPr>
          </w:p>
        </w:tc>
        <w:tc>
          <w:tcPr>
            <w:tcW w:w="3362" w:type="pct"/>
          </w:tcPr>
          <w:p>
            <w:pPr>
              <w:spacing w:line="340" w:lineRule="exact"/>
              <w:rPr>
                <w:bCs/>
                <w:color w:val="auto"/>
                <w:szCs w:val="21"/>
                <w:highlight w:val="none"/>
              </w:rPr>
            </w:pPr>
            <w:r>
              <w:rPr>
                <w:rFonts w:hint="eastAsia" w:ascii="Times New Roman" w:hAnsi="Times New Roman" w:cs="Times New Roman"/>
                <w:lang w:val="en-US" w:eastAsia="zh-CN"/>
              </w:rPr>
              <w:t>5、</w:t>
            </w:r>
            <w:r>
              <w:rPr>
                <w:rFonts w:hint="eastAsia" w:ascii="Times New Roman" w:hAnsi="Times New Roman" w:cs="Times New Roman"/>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646" w:type="pct"/>
            <w:vMerge w:val="continue"/>
            <w:vAlign w:val="center"/>
          </w:tcPr>
          <w:p>
            <w:pPr>
              <w:jc w:val="center"/>
              <w:rPr>
                <w:b/>
                <w:color w:val="auto"/>
                <w:highlight w:val="none"/>
              </w:rPr>
            </w:pPr>
          </w:p>
        </w:tc>
        <w:tc>
          <w:tcPr>
            <w:tcW w:w="990" w:type="pct"/>
            <w:vMerge w:val="restart"/>
            <w:vAlign w:val="center"/>
          </w:tcPr>
          <w:p>
            <w:pPr>
              <w:jc w:val="center"/>
              <w:rPr>
                <w:b/>
                <w:color w:val="auto"/>
                <w:highlight w:val="none"/>
              </w:rPr>
            </w:pPr>
            <w:r>
              <w:rPr>
                <w:rFonts w:hint="eastAsia"/>
                <w:color w:val="auto"/>
                <w:highlight w:val="none"/>
              </w:rPr>
              <w:t>付款方式</w:t>
            </w:r>
          </w:p>
        </w:tc>
        <w:tc>
          <w:tcPr>
            <w:tcW w:w="336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lang w:val="en-US" w:eastAsia="zh-CN"/>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出申请，</w:t>
            </w:r>
            <w:r>
              <w:rPr>
                <w:rFonts w:hint="eastAsia"/>
                <w:lang w:val="en-US" w:eastAsia="zh-CN"/>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lang w:val="en-US" w:eastAsia="zh-CN"/>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646" w:type="pct"/>
            <w:vMerge w:val="continue"/>
            <w:vAlign w:val="center"/>
          </w:tcPr>
          <w:p>
            <w:pPr>
              <w:jc w:val="center"/>
              <w:rPr>
                <w:color w:val="auto"/>
                <w:highlight w:val="none"/>
              </w:rPr>
            </w:pPr>
          </w:p>
        </w:tc>
        <w:tc>
          <w:tcPr>
            <w:tcW w:w="990" w:type="pct"/>
            <w:vMerge w:val="continue"/>
          </w:tcPr>
          <w:p>
            <w:pPr>
              <w:rPr>
                <w:b/>
                <w:color w:val="auto"/>
                <w:highlight w:val="none"/>
              </w:rPr>
            </w:pPr>
          </w:p>
        </w:tc>
        <w:tc>
          <w:tcPr>
            <w:tcW w:w="336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2"/>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sectPr>
      <w:footerReference r:id="rId3" w:type="default"/>
      <w:footerReference r:id="rId4" w:type="even"/>
      <w:pgSz w:w="11907" w:h="16840"/>
      <w:pgMar w:top="1440" w:right="1080" w:bottom="1440" w:left="108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5986000"/>
    <w:rsid w:val="08C073A3"/>
    <w:rsid w:val="09FE7641"/>
    <w:rsid w:val="0AD31734"/>
    <w:rsid w:val="0FB06823"/>
    <w:rsid w:val="13AB1E25"/>
    <w:rsid w:val="13BE4524"/>
    <w:rsid w:val="149A5357"/>
    <w:rsid w:val="1A180936"/>
    <w:rsid w:val="1A807061"/>
    <w:rsid w:val="1D2B2FE6"/>
    <w:rsid w:val="1E4B2B82"/>
    <w:rsid w:val="1E6F7F00"/>
    <w:rsid w:val="20C13A8E"/>
    <w:rsid w:val="21A73358"/>
    <w:rsid w:val="2F67542B"/>
    <w:rsid w:val="31BF3637"/>
    <w:rsid w:val="35D5260B"/>
    <w:rsid w:val="36737028"/>
    <w:rsid w:val="3A38795E"/>
    <w:rsid w:val="3ACD1190"/>
    <w:rsid w:val="3BEB050A"/>
    <w:rsid w:val="3CBB797D"/>
    <w:rsid w:val="3CE21BA1"/>
    <w:rsid w:val="452308D7"/>
    <w:rsid w:val="4E7C753F"/>
    <w:rsid w:val="505134AB"/>
    <w:rsid w:val="51EA72D5"/>
    <w:rsid w:val="5279537C"/>
    <w:rsid w:val="52B9434F"/>
    <w:rsid w:val="54863D9F"/>
    <w:rsid w:val="552E4C16"/>
    <w:rsid w:val="56450116"/>
    <w:rsid w:val="579A513A"/>
    <w:rsid w:val="57E55E07"/>
    <w:rsid w:val="598E0A22"/>
    <w:rsid w:val="5AAD5871"/>
    <w:rsid w:val="5D6B104C"/>
    <w:rsid w:val="5EB631EE"/>
    <w:rsid w:val="5EBA1DB1"/>
    <w:rsid w:val="6010702F"/>
    <w:rsid w:val="61077277"/>
    <w:rsid w:val="61202D75"/>
    <w:rsid w:val="6188673D"/>
    <w:rsid w:val="631753EB"/>
    <w:rsid w:val="6405305E"/>
    <w:rsid w:val="6442037E"/>
    <w:rsid w:val="65147B6C"/>
    <w:rsid w:val="6C9705C3"/>
    <w:rsid w:val="6CC81DB0"/>
    <w:rsid w:val="6D1D3B63"/>
    <w:rsid w:val="6E887300"/>
    <w:rsid w:val="6F0027AD"/>
    <w:rsid w:val="6F743592"/>
    <w:rsid w:val="71585AAE"/>
    <w:rsid w:val="78197282"/>
    <w:rsid w:val="7A693425"/>
    <w:rsid w:val="7AFD4038"/>
    <w:rsid w:val="7B84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3</TotalTime>
  <ScaleCrop>false</ScaleCrop>
  <LinksUpToDate>false</LinksUpToDate>
  <CharactersWithSpaces>3863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2021-12-24T00:13:37Z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AB398BF8EE0643D69CF65AFDED7F3599</vt:lpwstr>
  </property>
</Properties>
</file>