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rFonts w:hint="eastAsia" w:ascii="宋体" w:hAnsi="宋体" w:cs="宋体"/>
          <w:b/>
          <w:sz w:val="28"/>
          <w:szCs w:val="28"/>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b/>
          <w:sz w:val="28"/>
          <w:szCs w:val="28"/>
        </w:rPr>
        <w:t>中药熏蒸机</w:t>
      </w:r>
      <w:r>
        <w:rPr>
          <w:rFonts w:hint="eastAsia" w:ascii="宋体" w:hAnsi="宋体" w:cs="宋体"/>
          <w:b/>
          <w:sz w:val="28"/>
          <w:szCs w:val="28"/>
        </w:rPr>
        <w:t>招标要求</w:t>
      </w:r>
    </w:p>
    <w:bookmarkEnd w:id="1"/>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hint="eastAsia" w:ascii="宋体" w:hAnsi="宋体"/>
          <w:sz w:val="24"/>
        </w:rPr>
      </w:pPr>
      <w:r>
        <w:rPr>
          <w:rFonts w:hint="eastAsia" w:ascii="宋体" w:hAnsi="宋体"/>
          <w:sz w:val="24"/>
        </w:rPr>
        <w:t>5、本项目不接受联合体投标人。</w:t>
      </w:r>
    </w:p>
    <w:p>
      <w:pPr>
        <w:pStyle w:val="2"/>
      </w:pPr>
    </w:p>
    <w:p>
      <w:pPr>
        <w:rPr>
          <w:rFonts w:ascii="宋体" w:hAnsi="宋体"/>
          <w:b/>
          <w:sz w:val="24"/>
        </w:rPr>
      </w:pPr>
      <w:r>
        <w:rPr>
          <w:rFonts w:hint="eastAsia" w:ascii="宋体" w:hAnsi="宋体"/>
          <w:b/>
          <w:sz w:val="24"/>
        </w:rPr>
        <w:t>二、货物清单:</w:t>
      </w:r>
    </w:p>
    <w:tbl>
      <w:tblPr>
        <w:tblStyle w:val="5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2916"/>
        <w:gridCol w:w="1018"/>
        <w:gridCol w:w="99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5"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291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101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276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415" w:type="dxa"/>
            <w:vAlign w:val="center"/>
          </w:tcPr>
          <w:p>
            <w:pPr>
              <w:jc w:val="center"/>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val="0"/>
                <w:bCs w:val="0"/>
                <w:color w:val="000000" w:themeColor="text1"/>
                <w:szCs w:val="21"/>
                <w:lang w:val="en-US" w:eastAsia="zh-CN"/>
                <w14:textFill>
                  <w14:solidFill>
                    <w14:schemeClr w14:val="tx1"/>
                  </w14:solidFill>
                </w14:textFill>
              </w:rPr>
              <w:t>1</w:t>
            </w:r>
          </w:p>
        </w:tc>
        <w:tc>
          <w:tcPr>
            <w:tcW w:w="2916" w:type="dxa"/>
            <w:vAlign w:val="center"/>
          </w:tcPr>
          <w:p>
            <w:pPr>
              <w:jc w:val="center"/>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val="0"/>
                <w:bCs w:val="0"/>
                <w:color w:val="000000" w:themeColor="text1"/>
                <w:szCs w:val="21"/>
                <w14:textFill>
                  <w14:solidFill>
                    <w14:schemeClr w14:val="tx1"/>
                  </w14:solidFill>
                </w14:textFill>
              </w:rPr>
              <w:t>中药熏蒸机</w:t>
            </w:r>
          </w:p>
        </w:tc>
        <w:tc>
          <w:tcPr>
            <w:tcW w:w="1018" w:type="dxa"/>
            <w:vAlign w:val="center"/>
          </w:tcPr>
          <w:p>
            <w:pPr>
              <w:jc w:val="center"/>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val="0"/>
                <w:bCs w:val="0"/>
                <w:color w:val="000000" w:themeColor="text1"/>
                <w:szCs w:val="21"/>
                <w:lang w:val="en-US" w:eastAsia="zh-CN"/>
                <w14:textFill>
                  <w14:solidFill>
                    <w14:schemeClr w14:val="tx1"/>
                  </w14:solidFill>
                </w14:textFill>
              </w:rPr>
              <w:t>1</w:t>
            </w:r>
          </w:p>
        </w:tc>
        <w:tc>
          <w:tcPr>
            <w:tcW w:w="993" w:type="dxa"/>
            <w:vAlign w:val="center"/>
          </w:tcPr>
          <w:p>
            <w:pPr>
              <w:jc w:val="center"/>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val="0"/>
                <w:bCs w:val="0"/>
                <w:color w:val="000000" w:themeColor="text1"/>
                <w:szCs w:val="21"/>
                <w:lang w:val="en-US" w:eastAsia="zh-CN"/>
                <w14:textFill>
                  <w14:solidFill>
                    <w14:schemeClr w14:val="tx1"/>
                  </w14:solidFill>
                </w14:textFill>
              </w:rPr>
              <w:t>台</w:t>
            </w:r>
          </w:p>
        </w:tc>
        <w:tc>
          <w:tcPr>
            <w:tcW w:w="2766" w:type="dxa"/>
            <w:vAlign w:val="center"/>
          </w:tcPr>
          <w:p>
            <w:pPr>
              <w:jc w:val="center"/>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val="0"/>
                <w:bCs w:val="0"/>
                <w:color w:val="000000" w:themeColor="text1"/>
                <w:szCs w:val="21"/>
                <w:lang w:val="en-US" w:eastAsia="zh-CN"/>
                <w14:textFill>
                  <w14:solidFill>
                    <w14:schemeClr w14:val="tx1"/>
                  </w14:solidFill>
                </w14:textFill>
              </w:rPr>
              <w:t>4</w:t>
            </w:r>
          </w:p>
        </w:tc>
      </w:tr>
    </w:tbl>
    <w:p>
      <w:pPr>
        <w:pStyle w:val="6"/>
        <w:spacing w:beforeLines="50" w:afterLines="50"/>
        <w:jc w:val="both"/>
        <w:rPr>
          <w:rFonts w:hint="eastAsia"/>
          <w:bCs w:val="0"/>
          <w:kern w:val="2"/>
          <w:szCs w:val="24"/>
        </w:rPr>
      </w:pPr>
    </w:p>
    <w:p>
      <w:pPr>
        <w:pStyle w:val="6"/>
        <w:spacing w:beforeLines="50" w:afterLines="50"/>
        <w:jc w:val="both"/>
        <w:rPr>
          <w:bCs w:val="0"/>
          <w:kern w:val="2"/>
          <w:szCs w:val="24"/>
        </w:rPr>
      </w:pPr>
      <w:r>
        <w:rPr>
          <w:rFonts w:hint="eastAsia"/>
          <w:bCs w:val="0"/>
          <w:kern w:val="2"/>
          <w:szCs w:val="24"/>
        </w:rPr>
        <w:t xml:space="preserve">三、具体技术要求  </w:t>
      </w:r>
    </w:p>
    <w:tbl>
      <w:tblPr>
        <w:tblStyle w:val="54"/>
        <w:tblW w:w="937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6369"/>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6369" w:type="dxa"/>
            <w:vAlign w:val="center"/>
          </w:tcPr>
          <w:p>
            <w:pPr>
              <w:jc w:val="center"/>
              <w:rPr>
                <w:rFonts w:ascii="宋体" w:hAnsi="宋体"/>
                <w:szCs w:val="21"/>
              </w:rPr>
            </w:pPr>
            <w:r>
              <w:rPr>
                <w:rFonts w:hint="eastAsia" w:ascii="宋体" w:hAnsi="宋体"/>
                <w:szCs w:val="21"/>
              </w:rPr>
              <w:t>招标技术要求</w:t>
            </w:r>
          </w:p>
        </w:tc>
        <w:tc>
          <w:tcPr>
            <w:tcW w:w="1055"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vAlign w:val="center"/>
          </w:tcPr>
          <w:p>
            <w:pPr>
              <w:widowControl/>
              <w:jc w:val="center"/>
              <w:rPr>
                <w:rFonts w:hint="eastAsia" w:ascii="宋体" w:hAnsi="宋体" w:eastAsia="宋体"/>
                <w:b/>
                <w:kern w:val="0"/>
                <w:szCs w:val="21"/>
                <w:lang w:val="en-US" w:eastAsia="zh-CN"/>
              </w:rPr>
            </w:pPr>
            <w:r>
              <w:rPr>
                <w:rFonts w:hint="eastAsia" w:ascii="宋体" w:hAnsi="宋体"/>
                <w:b/>
                <w:kern w:val="0"/>
                <w:szCs w:val="21"/>
                <w:lang w:val="en-US" w:eastAsia="zh-CN"/>
              </w:rPr>
              <w:t>1</w:t>
            </w:r>
          </w:p>
        </w:tc>
        <w:tc>
          <w:tcPr>
            <w:tcW w:w="1276" w:type="dxa"/>
            <w:vMerge w:val="restart"/>
            <w:vAlign w:val="center"/>
          </w:tcPr>
          <w:p>
            <w:pPr>
              <w:widowControl/>
              <w:jc w:val="center"/>
              <w:rPr>
                <w:rFonts w:hint="eastAsia" w:ascii="宋体" w:hAnsi="宋体" w:eastAsia="宋体"/>
                <w:kern w:val="0"/>
                <w:szCs w:val="21"/>
                <w:lang w:val="en-US" w:eastAsia="zh-CN"/>
              </w:rPr>
            </w:pPr>
            <w:r>
              <w:rPr>
                <w:rFonts w:hint="eastAsia" w:ascii="宋体" w:hAnsi="宋体"/>
                <w:b/>
                <w:sz w:val="28"/>
                <w:szCs w:val="28"/>
              </w:rPr>
              <w:t>中药熏蒸机</w:t>
            </w:r>
          </w:p>
        </w:tc>
        <w:tc>
          <w:tcPr>
            <w:tcW w:w="6369" w:type="dxa"/>
            <w:vAlign w:val="center"/>
          </w:tcPr>
          <w:p>
            <w:pPr>
              <w:jc w:val="left"/>
              <w:rPr>
                <w:rFonts w:hint="eastAsia" w:ascii="宋体" w:hAnsi="宋体"/>
                <w:szCs w:val="21"/>
              </w:rPr>
            </w:pPr>
            <w:r>
              <w:rPr>
                <w:rFonts w:hint="eastAsia" w:ascii="宋体" w:hAnsi="宋体"/>
                <w:szCs w:val="21"/>
                <w:lang w:val="en-US" w:eastAsia="zh-CN"/>
              </w:rPr>
              <w:t>1</w:t>
            </w:r>
            <w:r>
              <w:rPr>
                <w:rFonts w:hint="eastAsia" w:ascii="宋体" w:hAnsi="宋体"/>
                <w:szCs w:val="21"/>
              </w:rPr>
              <w:t>、电源要求：AC220V/50Hz；</w:t>
            </w:r>
          </w:p>
        </w:tc>
        <w:tc>
          <w:tcPr>
            <w:tcW w:w="10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369" w:type="dxa"/>
            <w:vAlign w:val="center"/>
          </w:tcPr>
          <w:p>
            <w:pPr>
              <w:jc w:val="left"/>
              <w:rPr>
                <w:rFonts w:hint="eastAsia" w:ascii="宋体" w:hAnsi="宋体"/>
                <w:szCs w:val="21"/>
              </w:rPr>
            </w:pPr>
            <w:r>
              <w:rPr>
                <w:rFonts w:hint="eastAsia" w:ascii="宋体" w:hAnsi="宋体"/>
                <w:szCs w:val="21"/>
              </w:rPr>
              <w:t>2、外观结构：机电一体式设计，可移动式熏蒸治疗床；</w:t>
            </w:r>
          </w:p>
        </w:tc>
        <w:tc>
          <w:tcPr>
            <w:tcW w:w="10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369" w:type="dxa"/>
            <w:vAlign w:val="center"/>
          </w:tcPr>
          <w:p>
            <w:pPr>
              <w:jc w:val="left"/>
              <w:rPr>
                <w:rFonts w:hint="eastAsia" w:ascii="宋体" w:hAnsi="宋体"/>
                <w:szCs w:val="21"/>
              </w:rPr>
            </w:pPr>
            <w:r>
              <w:rPr>
                <w:rFonts w:hint="eastAsia" w:ascii="宋体" w:hAnsi="宋体"/>
                <w:szCs w:val="21"/>
              </w:rPr>
              <w:t>3、操控及显示方式：智能微电脑集成控制系统，人机交互通过亚克力触摸板进行操控，液晶显示屏可显示设定和实时治疗参数，床体具有三温区工作状态指示灯；</w:t>
            </w:r>
          </w:p>
        </w:tc>
        <w:tc>
          <w:tcPr>
            <w:tcW w:w="10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369" w:type="dxa"/>
            <w:vAlign w:val="center"/>
          </w:tcPr>
          <w:p>
            <w:pPr>
              <w:pStyle w:val="18"/>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自动控温：使蒸汽温度维持在设定值附近，温度设定范围包括但不限于35～45℃，预热到90℃为煎药、灭菌温度10min后冷却至恒温75℃；(启动预热功能后，液温升高至90℃后维持10min，可用来煎药；10min后液温逐渐降至75℃并维持在75℃。)</w:t>
            </w:r>
          </w:p>
        </w:tc>
        <w:tc>
          <w:tcPr>
            <w:tcW w:w="10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369" w:type="dxa"/>
            <w:vAlign w:val="center"/>
          </w:tcPr>
          <w:p>
            <w:pPr>
              <w:pStyle w:val="18"/>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5、自动控时包括但不限于：1～99min（任意设定），误差±10%，时间到达自动停止加热；</w:t>
            </w:r>
          </w:p>
        </w:tc>
        <w:tc>
          <w:tcPr>
            <w:tcW w:w="10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369"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6、自动控送中药蒸汽：当启动治疗后，将自动启动蒸汽输出，气流柔和，循环转动，可对人体各关节进行熏蒸，效果显著；</w:t>
            </w:r>
          </w:p>
        </w:tc>
        <w:tc>
          <w:tcPr>
            <w:tcW w:w="10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369"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7、自动防止干烧：水槽液位低于最低液位，120s后仍未加液至最高液位处，自动断电防止干烧；（提供相关说明文件）</w:t>
            </w:r>
          </w:p>
        </w:tc>
        <w:tc>
          <w:tcPr>
            <w:tcW w:w="10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1" w:type="dxa"/>
            <w:vMerge w:val="continue"/>
            <w:vAlign w:val="center"/>
          </w:tcPr>
          <w:p>
            <w:pPr>
              <w:widowControl/>
              <w:jc w:val="center"/>
              <w:rPr>
                <w:rFonts w:ascii="宋体" w:hAnsi="宋体"/>
                <w:b/>
                <w:kern w:val="0"/>
                <w:szCs w:val="21"/>
              </w:rPr>
            </w:pPr>
          </w:p>
        </w:tc>
        <w:tc>
          <w:tcPr>
            <w:tcW w:w="1276" w:type="dxa"/>
            <w:vMerge w:val="continue"/>
            <w:vAlign w:val="center"/>
          </w:tcPr>
          <w:p>
            <w:pPr>
              <w:widowControl/>
              <w:jc w:val="center"/>
              <w:rPr>
                <w:rFonts w:ascii="宋体" w:hAnsi="宋体"/>
                <w:kern w:val="0"/>
                <w:szCs w:val="21"/>
              </w:rPr>
            </w:pPr>
          </w:p>
        </w:tc>
        <w:tc>
          <w:tcPr>
            <w:tcW w:w="6369"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8、超高温自动断电保护功能：蒸汽温度达到设定的保护温度时，会启动保护装置，自动切断电源；</w:t>
            </w:r>
          </w:p>
        </w:tc>
        <w:tc>
          <w:tcPr>
            <w:tcW w:w="10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369" w:type="dxa"/>
            <w:vAlign w:val="center"/>
          </w:tcPr>
          <w:p>
            <w:pPr>
              <w:pStyle w:val="18"/>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9、熏蒸装置：由三个独立设定的温区组成，每个尺寸为400×330×290mm，误差±5%，可支持颈部、肩部、背部、腰部、腿部等多温区独立或同时熏蒸治疗；</w:t>
            </w:r>
          </w:p>
        </w:tc>
        <w:tc>
          <w:tcPr>
            <w:tcW w:w="10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369"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▲10、上下水方式：各温区可自动上水，手动下水，单区加液量≥4L，可自动控制液位，支持外接，支持地漏接口；</w:t>
            </w:r>
          </w:p>
        </w:tc>
        <w:tc>
          <w:tcPr>
            <w:tcW w:w="10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369"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11、加热方式：各温区具有独立的加热器，采用变频温控技术，实时检测维持设定温度。</w:t>
            </w:r>
          </w:p>
        </w:tc>
        <w:tc>
          <w:tcPr>
            <w:tcW w:w="10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369"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可独立开启某一个、两个温区或同时开启熏蒸治疗；</w:t>
            </w:r>
          </w:p>
        </w:tc>
        <w:tc>
          <w:tcPr>
            <w:tcW w:w="10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369"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12、灭菌方式：具有臭氧消毒和高温灭菌两种灭菌功能；</w:t>
            </w:r>
          </w:p>
        </w:tc>
        <w:tc>
          <w:tcPr>
            <w:tcW w:w="10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369"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13、内外选材：一次成型高密度亚克力材质，外表光滑易清洁，舱内四聚氨酯材料垫柔韧易清洁；</w:t>
            </w:r>
          </w:p>
        </w:tc>
        <w:tc>
          <w:tcPr>
            <w:tcW w:w="10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369"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14、紧急停止按钮：声光蜂鸣器红灯亮起并发出报警；</w:t>
            </w:r>
          </w:p>
        </w:tc>
        <w:tc>
          <w:tcPr>
            <w:tcW w:w="10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369"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▲15、具有专用颈部治疗配置。提供相关说明文件</w:t>
            </w:r>
          </w:p>
        </w:tc>
        <w:tc>
          <w:tcPr>
            <w:tcW w:w="10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369"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▲16、采用嵌入式控制系统，无需另外采用移动控制柜，移动方便，节省空间。提供相关说明文件。</w:t>
            </w:r>
          </w:p>
        </w:tc>
        <w:tc>
          <w:tcPr>
            <w:tcW w:w="1055" w:type="dxa"/>
            <w:vAlign w:val="center"/>
          </w:tcPr>
          <w:p>
            <w:pPr>
              <w:jc w:val="center"/>
              <w:rPr>
                <w:rFonts w:hint="eastAsia" w:ascii="宋体" w:hAnsi="宋体"/>
                <w:szCs w:val="21"/>
              </w:rPr>
            </w:pPr>
          </w:p>
        </w:tc>
      </w:tr>
    </w:tbl>
    <w:p>
      <w:pPr>
        <w:widowControl/>
        <w:jc w:val="left"/>
        <w:rPr>
          <w:rFonts w:ascii="宋体" w:hAnsi="宋体"/>
          <w:kern w:val="0"/>
          <w:szCs w:val="21"/>
        </w:rPr>
      </w:pPr>
    </w:p>
    <w:p>
      <w:pPr>
        <w:pStyle w:val="6"/>
        <w:spacing w:beforeLines="50" w:afterLines="50"/>
        <w:jc w:val="both"/>
        <w:rPr>
          <w:szCs w:val="24"/>
        </w:rPr>
      </w:pPr>
      <w:r>
        <w:rPr>
          <w:rFonts w:hint="eastAsia"/>
          <w:szCs w:val="24"/>
        </w:rPr>
        <w:t>四、配置清单</w:t>
      </w:r>
    </w:p>
    <w:tbl>
      <w:tblPr>
        <w:tblStyle w:val="5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5333"/>
        <w:gridCol w:w="709"/>
        <w:gridCol w:w="132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5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序号</w:t>
            </w:r>
          </w:p>
        </w:tc>
        <w:tc>
          <w:tcPr>
            <w:tcW w:w="533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配置名称</w:t>
            </w:r>
          </w:p>
        </w:tc>
        <w:tc>
          <w:tcPr>
            <w:tcW w:w="70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数量</w:t>
            </w:r>
          </w:p>
        </w:tc>
        <w:tc>
          <w:tcPr>
            <w:tcW w:w="1324"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单位</w:t>
            </w:r>
          </w:p>
        </w:tc>
        <w:tc>
          <w:tcPr>
            <w:tcW w:w="1111"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5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533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主机</w:t>
            </w:r>
          </w:p>
        </w:tc>
        <w:tc>
          <w:tcPr>
            <w:tcW w:w="70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台</w:t>
            </w:r>
          </w:p>
        </w:tc>
        <w:tc>
          <w:tcPr>
            <w:tcW w:w="1324"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1111" w:type="dxa"/>
            <w:vAlign w:val="center"/>
          </w:tcPr>
          <w:p>
            <w:pPr>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5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p>
        </w:tc>
        <w:tc>
          <w:tcPr>
            <w:tcW w:w="533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移动式插座</w:t>
            </w:r>
          </w:p>
        </w:tc>
        <w:tc>
          <w:tcPr>
            <w:tcW w:w="70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个</w:t>
            </w:r>
          </w:p>
        </w:tc>
        <w:tc>
          <w:tcPr>
            <w:tcW w:w="1324"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1111" w:type="dxa"/>
            <w:vAlign w:val="center"/>
          </w:tcPr>
          <w:p>
            <w:pPr>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5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p>
        </w:tc>
        <w:tc>
          <w:tcPr>
            <w:tcW w:w="533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熔断器</w:t>
            </w:r>
          </w:p>
        </w:tc>
        <w:tc>
          <w:tcPr>
            <w:tcW w:w="70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个</w:t>
            </w:r>
          </w:p>
        </w:tc>
        <w:tc>
          <w:tcPr>
            <w:tcW w:w="1324"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p>
        </w:tc>
        <w:tc>
          <w:tcPr>
            <w:tcW w:w="1111" w:type="dxa"/>
            <w:vAlign w:val="center"/>
          </w:tcPr>
          <w:p>
            <w:pPr>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5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w:t>
            </w:r>
          </w:p>
        </w:tc>
        <w:tc>
          <w:tcPr>
            <w:tcW w:w="533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角阀</w:t>
            </w:r>
          </w:p>
        </w:tc>
        <w:tc>
          <w:tcPr>
            <w:tcW w:w="70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个</w:t>
            </w:r>
          </w:p>
        </w:tc>
        <w:tc>
          <w:tcPr>
            <w:tcW w:w="1324"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1111" w:type="dxa"/>
            <w:vAlign w:val="center"/>
          </w:tcPr>
          <w:p>
            <w:pPr>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exact"/>
          <w:jc w:val="center"/>
        </w:trPr>
        <w:tc>
          <w:tcPr>
            <w:tcW w:w="75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w:t>
            </w:r>
          </w:p>
        </w:tc>
        <w:tc>
          <w:tcPr>
            <w:tcW w:w="533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进水管</w:t>
            </w:r>
          </w:p>
        </w:tc>
        <w:tc>
          <w:tcPr>
            <w:tcW w:w="70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条</w:t>
            </w:r>
          </w:p>
        </w:tc>
        <w:tc>
          <w:tcPr>
            <w:tcW w:w="1324"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1111" w:type="dxa"/>
            <w:vAlign w:val="center"/>
          </w:tcPr>
          <w:p>
            <w:pPr>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5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w:t>
            </w:r>
          </w:p>
        </w:tc>
        <w:tc>
          <w:tcPr>
            <w:tcW w:w="533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排水管</w:t>
            </w:r>
          </w:p>
        </w:tc>
        <w:tc>
          <w:tcPr>
            <w:tcW w:w="70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个</w:t>
            </w:r>
          </w:p>
        </w:tc>
        <w:tc>
          <w:tcPr>
            <w:tcW w:w="1324"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1111" w:type="dxa"/>
            <w:vAlign w:val="center"/>
          </w:tcPr>
          <w:p>
            <w:pPr>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5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w:t>
            </w:r>
          </w:p>
        </w:tc>
        <w:tc>
          <w:tcPr>
            <w:tcW w:w="533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生料带</w:t>
            </w:r>
          </w:p>
        </w:tc>
        <w:tc>
          <w:tcPr>
            <w:tcW w:w="70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个</w:t>
            </w:r>
          </w:p>
        </w:tc>
        <w:tc>
          <w:tcPr>
            <w:tcW w:w="1324"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1111" w:type="dxa"/>
            <w:vAlign w:val="center"/>
          </w:tcPr>
          <w:p>
            <w:pPr>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5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8</w:t>
            </w:r>
          </w:p>
        </w:tc>
        <w:tc>
          <w:tcPr>
            <w:tcW w:w="533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过滤器</w:t>
            </w:r>
          </w:p>
        </w:tc>
        <w:tc>
          <w:tcPr>
            <w:tcW w:w="70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个</w:t>
            </w:r>
          </w:p>
        </w:tc>
        <w:tc>
          <w:tcPr>
            <w:tcW w:w="1324"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1111" w:type="dxa"/>
            <w:vAlign w:val="center"/>
          </w:tcPr>
          <w:p>
            <w:pPr>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53"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9</w:t>
            </w:r>
          </w:p>
        </w:tc>
        <w:tc>
          <w:tcPr>
            <w:tcW w:w="5333"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枕头</w:t>
            </w:r>
          </w:p>
        </w:tc>
        <w:tc>
          <w:tcPr>
            <w:tcW w:w="709"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1324"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2个</w:t>
            </w:r>
          </w:p>
        </w:tc>
        <w:tc>
          <w:tcPr>
            <w:tcW w:w="1111" w:type="dxa"/>
            <w:vAlign w:val="center"/>
          </w:tcPr>
          <w:p>
            <w:pPr>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53"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10</w:t>
            </w:r>
          </w:p>
        </w:tc>
        <w:tc>
          <w:tcPr>
            <w:tcW w:w="533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枕头垫</w:t>
            </w:r>
          </w:p>
        </w:tc>
        <w:tc>
          <w:tcPr>
            <w:tcW w:w="709"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1324"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个</w:t>
            </w:r>
          </w:p>
        </w:tc>
        <w:tc>
          <w:tcPr>
            <w:tcW w:w="1111" w:type="dxa"/>
            <w:vAlign w:val="center"/>
          </w:tcPr>
          <w:p>
            <w:pPr>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53"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11</w:t>
            </w:r>
          </w:p>
        </w:tc>
        <w:tc>
          <w:tcPr>
            <w:tcW w:w="5333"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使用说明书</w:t>
            </w:r>
          </w:p>
        </w:tc>
        <w:tc>
          <w:tcPr>
            <w:tcW w:w="709"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p>
        </w:tc>
        <w:tc>
          <w:tcPr>
            <w:tcW w:w="1324"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套</w:t>
            </w:r>
          </w:p>
        </w:tc>
        <w:tc>
          <w:tcPr>
            <w:tcW w:w="1111" w:type="dxa"/>
            <w:vAlign w:val="center"/>
          </w:tcPr>
          <w:p>
            <w:pPr>
              <w:jc w:val="center"/>
              <w:rPr>
                <w:rFonts w:hint="eastAsia" w:ascii="宋体" w:hAnsi="宋体" w:eastAsia="宋体" w:cs="Times New Roman"/>
                <w:kern w:val="2"/>
                <w:sz w:val="21"/>
                <w:szCs w:val="21"/>
                <w:lang w:val="en-US" w:eastAsia="zh-CN" w:bidi="ar-SA"/>
              </w:rPr>
            </w:pPr>
          </w:p>
        </w:tc>
      </w:tr>
    </w:tbl>
    <w:p>
      <w:pPr>
        <w:widowControl/>
        <w:jc w:val="left"/>
        <w:rPr>
          <w:rFonts w:ascii="宋体" w:hAnsi="宋体"/>
          <w:kern w:val="0"/>
          <w:szCs w:val="21"/>
        </w:rPr>
      </w:pPr>
    </w:p>
    <w:p>
      <w:pPr>
        <w:pStyle w:val="2"/>
        <w:rPr>
          <w:rFonts w:ascii="宋体" w:hAnsi="宋体"/>
          <w:kern w:val="0"/>
          <w:szCs w:val="21"/>
        </w:rPr>
      </w:pPr>
    </w:p>
    <w:p>
      <w:pPr>
        <w:pStyle w:val="2"/>
        <w:rPr>
          <w:rFonts w:ascii="宋体" w:hAnsi="宋体"/>
          <w:kern w:val="0"/>
          <w:szCs w:val="21"/>
        </w:rPr>
      </w:pPr>
    </w:p>
    <w:p>
      <w:pPr>
        <w:pStyle w:val="2"/>
        <w:rPr>
          <w:rFonts w:ascii="宋体" w:hAnsi="宋体"/>
          <w:kern w:val="0"/>
          <w:szCs w:val="21"/>
        </w:rPr>
      </w:pPr>
    </w:p>
    <w:p>
      <w:pPr>
        <w:pStyle w:val="2"/>
        <w:rPr>
          <w:rFonts w:ascii="宋体" w:hAnsi="宋体"/>
          <w:kern w:val="0"/>
          <w:szCs w:val="21"/>
        </w:rPr>
      </w:pPr>
    </w:p>
    <w:p>
      <w:pPr>
        <w:pStyle w:val="2"/>
        <w:rPr>
          <w:rFonts w:ascii="宋体" w:hAnsi="宋体"/>
          <w:kern w:val="0"/>
          <w:szCs w:val="21"/>
        </w:rPr>
      </w:pPr>
    </w:p>
    <w:p>
      <w:pPr>
        <w:pStyle w:val="2"/>
        <w:rPr>
          <w:rFonts w:ascii="宋体" w:hAnsi="宋体"/>
          <w:kern w:val="0"/>
          <w:szCs w:val="21"/>
        </w:rPr>
      </w:pPr>
    </w:p>
    <w:p>
      <w:pPr>
        <w:pStyle w:val="2"/>
        <w:ind w:left="0" w:leftChars="0" w:firstLine="0" w:firstLineChars="0"/>
        <w:rPr>
          <w:rFonts w:ascii="宋体" w:hAnsi="宋体"/>
          <w:kern w:val="0"/>
          <w:szCs w:val="21"/>
        </w:rPr>
      </w:pPr>
    </w:p>
    <w:p>
      <w:pPr>
        <w:pStyle w:val="2"/>
        <w:ind w:left="0" w:leftChars="0" w:firstLine="0" w:firstLineChars="0"/>
        <w:rPr>
          <w:rFonts w:hint="default" w:ascii="宋体" w:hAnsi="宋体" w:eastAsia="宋体"/>
          <w:kern w:val="0"/>
          <w:szCs w:val="21"/>
          <w:lang w:val="en-US" w:eastAsia="zh-CN"/>
        </w:rPr>
      </w:pPr>
    </w:p>
    <w:p>
      <w:pPr>
        <w:jc w:val="center"/>
      </w:pPr>
    </w:p>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r>
        <w:rPr>
          <w:rFonts w:hint="eastAsia" w:hAnsi="宋体"/>
          <w:b/>
          <w:color w:val="auto"/>
          <w:lang w:eastAsia="zh-CN"/>
        </w:rPr>
        <w:t>。</w:t>
      </w:r>
    </w:p>
    <w:p>
      <w:pPr>
        <w:numPr>
          <w:ilvl w:val="0"/>
          <w:numId w:val="1"/>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auto"/>
          <w:kern w:val="0"/>
          <w:szCs w:val="21"/>
        </w:rPr>
        <w:t>如未填写，将被视为未实质性满足招标文件要求作投标无效处理。</w:t>
      </w:r>
    </w:p>
    <w:p>
      <w:pPr>
        <w:numPr>
          <w:ilvl w:val="0"/>
          <w:numId w:val="1"/>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
      <w:pPr>
        <w:pStyle w:val="2"/>
      </w:pPr>
    </w:p>
    <w:p>
      <w:pPr>
        <w:pStyle w:val="2"/>
      </w:pPr>
    </w:p>
    <w:p>
      <w:pPr>
        <w:pStyle w:val="2"/>
      </w:pPr>
    </w:p>
    <w:p>
      <w:pPr>
        <w:pStyle w:val="2"/>
      </w:pPr>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六、商务要求：</w:t>
      </w:r>
    </w:p>
    <w:tbl>
      <w:tblPr>
        <w:tblStyle w:val="54"/>
        <w:tblW w:w="4905" w:type="pct"/>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924"/>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0" w:type="pct"/>
            <w:vAlign w:val="center"/>
          </w:tcPr>
          <w:p>
            <w:pPr>
              <w:jc w:val="center"/>
              <w:rPr>
                <w:b/>
                <w:color w:val="auto"/>
                <w:highlight w:val="none"/>
              </w:rPr>
            </w:pPr>
            <w:r>
              <w:rPr>
                <w:rFonts w:hint="eastAsia"/>
                <w:b/>
                <w:color w:val="auto"/>
                <w:highlight w:val="none"/>
              </w:rPr>
              <w:t>序号</w:t>
            </w:r>
          </w:p>
        </w:tc>
        <w:tc>
          <w:tcPr>
            <w:tcW w:w="984" w:type="pct"/>
            <w:vAlign w:val="center"/>
          </w:tcPr>
          <w:p>
            <w:pPr>
              <w:jc w:val="center"/>
              <w:rPr>
                <w:b/>
                <w:color w:val="auto"/>
                <w:highlight w:val="none"/>
              </w:rPr>
            </w:pPr>
            <w:r>
              <w:rPr>
                <w:rFonts w:hint="eastAsia"/>
                <w:b/>
                <w:color w:val="auto"/>
                <w:highlight w:val="none"/>
              </w:rPr>
              <w:t>目录</w:t>
            </w:r>
          </w:p>
        </w:tc>
        <w:tc>
          <w:tcPr>
            <w:tcW w:w="3345"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70" w:type="pct"/>
            <w:vMerge w:val="restart"/>
            <w:vAlign w:val="center"/>
          </w:tcPr>
          <w:p>
            <w:pPr>
              <w:jc w:val="center"/>
              <w:rPr>
                <w:b/>
                <w:color w:val="auto"/>
                <w:highlight w:val="none"/>
              </w:rPr>
            </w:pPr>
            <w:r>
              <w:rPr>
                <w:rFonts w:hint="eastAsia"/>
                <w:b/>
                <w:color w:val="auto"/>
                <w:highlight w:val="none"/>
              </w:rPr>
              <w:t>（一）免费保修期内售后服务要求</w:t>
            </w:r>
          </w:p>
        </w:tc>
        <w:tc>
          <w:tcPr>
            <w:tcW w:w="984" w:type="pct"/>
            <w:vAlign w:val="center"/>
          </w:tcPr>
          <w:p>
            <w:pPr>
              <w:jc w:val="center"/>
              <w:rPr>
                <w:color w:val="auto"/>
                <w:highlight w:val="none"/>
              </w:rPr>
            </w:pPr>
            <w:r>
              <w:rPr>
                <w:rFonts w:hint="eastAsia"/>
                <w:color w:val="auto"/>
                <w:highlight w:val="none"/>
              </w:rPr>
              <w:t>免费保修期</w:t>
            </w:r>
          </w:p>
        </w:tc>
        <w:tc>
          <w:tcPr>
            <w:tcW w:w="3345"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70" w:type="pct"/>
            <w:vMerge w:val="continue"/>
            <w:vAlign w:val="center"/>
          </w:tcPr>
          <w:p>
            <w:pPr>
              <w:jc w:val="center"/>
              <w:rPr>
                <w:b/>
                <w:color w:val="auto"/>
                <w:highlight w:val="none"/>
              </w:rPr>
            </w:pPr>
          </w:p>
        </w:tc>
        <w:tc>
          <w:tcPr>
            <w:tcW w:w="984" w:type="pct"/>
            <w:vAlign w:val="center"/>
          </w:tcPr>
          <w:p>
            <w:pPr>
              <w:jc w:val="center"/>
              <w:rPr>
                <w:color w:val="auto"/>
                <w:highlight w:val="none"/>
              </w:rPr>
            </w:pPr>
            <w:r>
              <w:rPr>
                <w:rFonts w:hint="eastAsia"/>
                <w:color w:val="auto"/>
                <w:highlight w:val="none"/>
              </w:rPr>
              <w:t>响应时间</w:t>
            </w:r>
          </w:p>
        </w:tc>
        <w:tc>
          <w:tcPr>
            <w:tcW w:w="3345"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70" w:type="pct"/>
            <w:vMerge w:val="continue"/>
            <w:vAlign w:val="center"/>
          </w:tcPr>
          <w:p>
            <w:pPr>
              <w:jc w:val="center"/>
              <w:rPr>
                <w:b/>
                <w:color w:val="auto"/>
                <w:highlight w:val="none"/>
              </w:rPr>
            </w:pPr>
          </w:p>
        </w:tc>
        <w:tc>
          <w:tcPr>
            <w:tcW w:w="984" w:type="pct"/>
            <w:vMerge w:val="restart"/>
            <w:vAlign w:val="center"/>
          </w:tcPr>
          <w:p>
            <w:pPr>
              <w:jc w:val="center"/>
              <w:rPr>
                <w:b/>
                <w:color w:val="auto"/>
                <w:highlight w:val="none"/>
              </w:rPr>
            </w:pPr>
            <w:r>
              <w:rPr>
                <w:rFonts w:hint="eastAsia"/>
                <w:color w:val="auto"/>
                <w:highlight w:val="none"/>
              </w:rPr>
              <w:t>其他</w:t>
            </w:r>
          </w:p>
        </w:tc>
        <w:tc>
          <w:tcPr>
            <w:tcW w:w="3345"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70" w:type="pct"/>
            <w:vMerge w:val="continue"/>
            <w:vAlign w:val="center"/>
          </w:tcPr>
          <w:p>
            <w:pPr>
              <w:jc w:val="center"/>
              <w:rPr>
                <w:b/>
                <w:color w:val="auto"/>
                <w:highlight w:val="none"/>
              </w:rPr>
            </w:pPr>
          </w:p>
        </w:tc>
        <w:tc>
          <w:tcPr>
            <w:tcW w:w="984" w:type="pct"/>
            <w:vMerge w:val="continue"/>
            <w:vAlign w:val="center"/>
          </w:tcPr>
          <w:p>
            <w:pPr>
              <w:rPr>
                <w:color w:val="auto"/>
                <w:highlight w:val="none"/>
              </w:rPr>
            </w:pPr>
          </w:p>
        </w:tc>
        <w:tc>
          <w:tcPr>
            <w:tcW w:w="3345"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70" w:type="pct"/>
            <w:vMerge w:val="continue"/>
            <w:vAlign w:val="center"/>
          </w:tcPr>
          <w:p>
            <w:pPr>
              <w:jc w:val="center"/>
              <w:rPr>
                <w:b/>
                <w:color w:val="auto"/>
                <w:highlight w:val="none"/>
              </w:rPr>
            </w:pPr>
          </w:p>
        </w:tc>
        <w:tc>
          <w:tcPr>
            <w:tcW w:w="984" w:type="pct"/>
            <w:vMerge w:val="continue"/>
            <w:vAlign w:val="center"/>
          </w:tcPr>
          <w:p>
            <w:pPr>
              <w:rPr>
                <w:color w:val="auto"/>
                <w:highlight w:val="none"/>
              </w:rPr>
            </w:pPr>
          </w:p>
        </w:tc>
        <w:tc>
          <w:tcPr>
            <w:tcW w:w="3345"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70" w:type="pct"/>
            <w:vMerge w:val="continue"/>
            <w:vAlign w:val="center"/>
          </w:tcPr>
          <w:p>
            <w:pPr>
              <w:jc w:val="center"/>
              <w:rPr>
                <w:b/>
                <w:color w:val="auto"/>
                <w:highlight w:val="none"/>
              </w:rPr>
            </w:pPr>
          </w:p>
        </w:tc>
        <w:tc>
          <w:tcPr>
            <w:tcW w:w="984" w:type="pct"/>
            <w:vMerge w:val="continue"/>
            <w:vAlign w:val="center"/>
          </w:tcPr>
          <w:p>
            <w:pPr>
              <w:rPr>
                <w:color w:val="auto"/>
                <w:highlight w:val="none"/>
              </w:rPr>
            </w:pPr>
          </w:p>
        </w:tc>
        <w:tc>
          <w:tcPr>
            <w:tcW w:w="3345"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70" w:type="pct"/>
            <w:vMerge w:val="continue"/>
            <w:vAlign w:val="center"/>
          </w:tcPr>
          <w:p>
            <w:pPr>
              <w:jc w:val="center"/>
              <w:rPr>
                <w:b/>
                <w:color w:val="auto"/>
                <w:highlight w:val="none"/>
              </w:rPr>
            </w:pPr>
          </w:p>
        </w:tc>
        <w:tc>
          <w:tcPr>
            <w:tcW w:w="984" w:type="pct"/>
            <w:vMerge w:val="continue"/>
            <w:vAlign w:val="center"/>
          </w:tcPr>
          <w:p>
            <w:pPr>
              <w:rPr>
                <w:color w:val="auto"/>
                <w:highlight w:val="none"/>
              </w:rPr>
            </w:pPr>
          </w:p>
        </w:tc>
        <w:tc>
          <w:tcPr>
            <w:tcW w:w="3345"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0" w:type="pct"/>
            <w:vMerge w:val="restart"/>
            <w:vAlign w:val="center"/>
          </w:tcPr>
          <w:p>
            <w:pPr>
              <w:jc w:val="center"/>
              <w:rPr>
                <w:b/>
                <w:color w:val="auto"/>
                <w:highlight w:val="none"/>
              </w:rPr>
            </w:pPr>
            <w:r>
              <w:rPr>
                <w:rFonts w:hint="eastAsia"/>
                <w:b/>
                <w:color w:val="auto"/>
                <w:highlight w:val="none"/>
              </w:rPr>
              <w:t>（二）免费保修期外售后服务要求</w:t>
            </w:r>
          </w:p>
        </w:tc>
        <w:tc>
          <w:tcPr>
            <w:tcW w:w="984" w:type="pct"/>
            <w:vAlign w:val="center"/>
          </w:tcPr>
          <w:p>
            <w:pPr>
              <w:jc w:val="center"/>
              <w:rPr>
                <w:color w:val="auto"/>
                <w:highlight w:val="none"/>
              </w:rPr>
            </w:pPr>
            <w:r>
              <w:rPr>
                <w:rFonts w:hint="eastAsia"/>
                <w:color w:val="auto"/>
                <w:highlight w:val="none"/>
              </w:rPr>
              <w:t>软件升级</w:t>
            </w:r>
          </w:p>
        </w:tc>
        <w:tc>
          <w:tcPr>
            <w:tcW w:w="3345"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70" w:type="pct"/>
            <w:vMerge w:val="continue"/>
            <w:vAlign w:val="center"/>
          </w:tcPr>
          <w:p>
            <w:pPr>
              <w:jc w:val="center"/>
              <w:rPr>
                <w:b/>
                <w:color w:val="auto"/>
                <w:highlight w:val="none"/>
              </w:rPr>
            </w:pPr>
          </w:p>
        </w:tc>
        <w:tc>
          <w:tcPr>
            <w:tcW w:w="984" w:type="pct"/>
            <w:vAlign w:val="center"/>
          </w:tcPr>
          <w:p>
            <w:pPr>
              <w:jc w:val="center"/>
              <w:rPr>
                <w:b/>
                <w:color w:val="auto"/>
                <w:highlight w:val="none"/>
              </w:rPr>
            </w:pPr>
            <w:r>
              <w:rPr>
                <w:rFonts w:hint="eastAsia"/>
                <w:color w:val="auto"/>
                <w:highlight w:val="none"/>
              </w:rPr>
              <w:t>软件合法性</w:t>
            </w:r>
          </w:p>
        </w:tc>
        <w:tc>
          <w:tcPr>
            <w:tcW w:w="3345"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70" w:type="pct"/>
            <w:vMerge w:val="continue"/>
            <w:vAlign w:val="center"/>
          </w:tcPr>
          <w:p>
            <w:pPr>
              <w:jc w:val="center"/>
              <w:rPr>
                <w:b/>
                <w:color w:val="auto"/>
                <w:highlight w:val="none"/>
              </w:rPr>
            </w:pPr>
          </w:p>
        </w:tc>
        <w:tc>
          <w:tcPr>
            <w:tcW w:w="984" w:type="pct"/>
            <w:vAlign w:val="center"/>
          </w:tcPr>
          <w:p>
            <w:pPr>
              <w:jc w:val="center"/>
              <w:rPr>
                <w:b/>
                <w:color w:val="auto"/>
                <w:highlight w:val="none"/>
              </w:rPr>
            </w:pPr>
            <w:r>
              <w:rPr>
                <w:rFonts w:hint="eastAsia"/>
                <w:color w:val="auto"/>
                <w:highlight w:val="none"/>
              </w:rPr>
              <w:t>培训</w:t>
            </w:r>
          </w:p>
        </w:tc>
        <w:tc>
          <w:tcPr>
            <w:tcW w:w="3345"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70" w:type="pct"/>
            <w:vMerge w:val="continue"/>
            <w:vAlign w:val="center"/>
          </w:tcPr>
          <w:p>
            <w:pPr>
              <w:jc w:val="center"/>
              <w:rPr>
                <w:b/>
                <w:color w:val="auto"/>
                <w:highlight w:val="none"/>
              </w:rPr>
            </w:pPr>
          </w:p>
        </w:tc>
        <w:tc>
          <w:tcPr>
            <w:tcW w:w="984" w:type="pct"/>
            <w:vAlign w:val="center"/>
          </w:tcPr>
          <w:p>
            <w:pPr>
              <w:jc w:val="center"/>
              <w:rPr>
                <w:color w:val="auto"/>
                <w:highlight w:val="none"/>
              </w:rPr>
            </w:pPr>
            <w:r>
              <w:rPr>
                <w:rFonts w:hint="eastAsia"/>
                <w:color w:val="auto"/>
                <w:highlight w:val="none"/>
              </w:rPr>
              <w:t>售后服务</w:t>
            </w:r>
          </w:p>
        </w:tc>
        <w:tc>
          <w:tcPr>
            <w:tcW w:w="3345"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70" w:type="pct"/>
            <w:vMerge w:val="restart"/>
            <w:vAlign w:val="center"/>
          </w:tcPr>
          <w:p>
            <w:pPr>
              <w:jc w:val="center"/>
              <w:rPr>
                <w:b/>
                <w:color w:val="auto"/>
                <w:highlight w:val="none"/>
              </w:rPr>
            </w:pPr>
            <w:r>
              <w:rPr>
                <w:rFonts w:hint="eastAsia"/>
                <w:b/>
                <w:color w:val="auto"/>
                <w:highlight w:val="none"/>
              </w:rPr>
              <w:t>（三）其他商务要求</w:t>
            </w:r>
          </w:p>
        </w:tc>
        <w:tc>
          <w:tcPr>
            <w:tcW w:w="984" w:type="pct"/>
            <w:vAlign w:val="center"/>
          </w:tcPr>
          <w:p>
            <w:pPr>
              <w:jc w:val="center"/>
              <w:rPr>
                <w:color w:val="auto"/>
                <w:highlight w:val="none"/>
              </w:rPr>
            </w:pPr>
            <w:r>
              <w:rPr>
                <w:rFonts w:hint="eastAsia"/>
                <w:color w:val="auto"/>
                <w:highlight w:val="none"/>
              </w:rPr>
              <w:t>关于交货</w:t>
            </w:r>
          </w:p>
        </w:tc>
        <w:tc>
          <w:tcPr>
            <w:tcW w:w="3345"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70" w:type="pct"/>
            <w:vMerge w:val="continue"/>
            <w:vAlign w:val="center"/>
          </w:tcPr>
          <w:p>
            <w:pPr>
              <w:jc w:val="center"/>
              <w:rPr>
                <w:b/>
                <w:color w:val="auto"/>
                <w:highlight w:val="none"/>
              </w:rPr>
            </w:pPr>
          </w:p>
        </w:tc>
        <w:tc>
          <w:tcPr>
            <w:tcW w:w="984" w:type="pct"/>
            <w:vAlign w:val="center"/>
          </w:tcPr>
          <w:p>
            <w:pPr>
              <w:jc w:val="center"/>
              <w:rPr>
                <w:color w:val="auto"/>
                <w:highlight w:val="none"/>
              </w:rPr>
            </w:pPr>
            <w:r>
              <w:rPr>
                <w:rFonts w:hint="eastAsia"/>
                <w:color w:val="auto"/>
                <w:highlight w:val="none"/>
              </w:rPr>
              <w:t>报价</w:t>
            </w:r>
          </w:p>
        </w:tc>
        <w:tc>
          <w:tcPr>
            <w:tcW w:w="3345"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70" w:type="pct"/>
            <w:vMerge w:val="continue"/>
            <w:vAlign w:val="center"/>
          </w:tcPr>
          <w:p>
            <w:pPr>
              <w:jc w:val="center"/>
              <w:rPr>
                <w:b/>
                <w:color w:val="auto"/>
                <w:highlight w:val="none"/>
              </w:rPr>
            </w:pPr>
          </w:p>
        </w:tc>
        <w:tc>
          <w:tcPr>
            <w:tcW w:w="984" w:type="pct"/>
            <w:vMerge w:val="restart"/>
            <w:vAlign w:val="center"/>
          </w:tcPr>
          <w:p>
            <w:pPr>
              <w:jc w:val="center"/>
              <w:rPr>
                <w:color w:val="auto"/>
                <w:highlight w:val="none"/>
              </w:rPr>
            </w:pPr>
            <w:r>
              <w:rPr>
                <w:rFonts w:hint="eastAsia"/>
                <w:color w:val="auto"/>
                <w:highlight w:val="none"/>
              </w:rPr>
              <w:t>关于验收</w:t>
            </w:r>
          </w:p>
        </w:tc>
        <w:tc>
          <w:tcPr>
            <w:tcW w:w="3345"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70" w:type="pct"/>
            <w:vMerge w:val="continue"/>
            <w:vAlign w:val="center"/>
          </w:tcPr>
          <w:p>
            <w:pPr>
              <w:jc w:val="center"/>
              <w:rPr>
                <w:b/>
                <w:color w:val="auto"/>
                <w:highlight w:val="none"/>
              </w:rPr>
            </w:pPr>
          </w:p>
        </w:tc>
        <w:tc>
          <w:tcPr>
            <w:tcW w:w="984" w:type="pct"/>
            <w:vMerge w:val="continue"/>
          </w:tcPr>
          <w:p>
            <w:pPr>
              <w:rPr>
                <w:b/>
                <w:color w:val="auto"/>
                <w:highlight w:val="none"/>
              </w:rPr>
            </w:pPr>
          </w:p>
        </w:tc>
        <w:tc>
          <w:tcPr>
            <w:tcW w:w="3345"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70" w:type="pct"/>
            <w:vMerge w:val="continue"/>
            <w:vAlign w:val="center"/>
          </w:tcPr>
          <w:p>
            <w:pPr>
              <w:jc w:val="center"/>
              <w:rPr>
                <w:b/>
                <w:color w:val="auto"/>
                <w:highlight w:val="none"/>
              </w:rPr>
            </w:pPr>
          </w:p>
        </w:tc>
        <w:tc>
          <w:tcPr>
            <w:tcW w:w="984" w:type="pct"/>
            <w:vMerge w:val="continue"/>
          </w:tcPr>
          <w:p>
            <w:pPr>
              <w:rPr>
                <w:b/>
                <w:color w:val="auto"/>
                <w:highlight w:val="none"/>
              </w:rPr>
            </w:pPr>
          </w:p>
        </w:tc>
        <w:tc>
          <w:tcPr>
            <w:tcW w:w="3345" w:type="pct"/>
          </w:tcPr>
          <w:p>
            <w:pPr>
              <w:spacing w:line="340" w:lineRule="exact"/>
              <w:rPr>
                <w:bCs/>
                <w:color w:val="auto"/>
                <w:szCs w:val="21"/>
                <w:highlight w:val="none"/>
              </w:rPr>
            </w:pPr>
            <w:r>
              <w:rPr>
                <w:rFonts w:hint="eastAsia" w:ascii="Times New Roman" w:hAnsi="Times New Roman" w:cs="Times New Roman"/>
                <w:lang w:val="en-US" w:eastAsia="zh-CN"/>
              </w:rPr>
              <w:t>5、</w:t>
            </w:r>
            <w:r>
              <w:rPr>
                <w:rFonts w:hint="eastAsia" w:ascii="Times New Roman" w:hAnsi="Times New Roman" w:cs="Times New Roman"/>
              </w:rPr>
              <w:t>本项目要求提供由深圳市计量院出具的全性能检测报告，检测费用由中标方承担（深圳市计量院不能检测的设备除外）；属于国家规定的强检设备，还需提供计量检定证书。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670" w:type="pct"/>
            <w:vMerge w:val="continue"/>
            <w:vAlign w:val="center"/>
          </w:tcPr>
          <w:p>
            <w:pPr>
              <w:jc w:val="center"/>
              <w:rPr>
                <w:b/>
                <w:color w:val="auto"/>
                <w:highlight w:val="none"/>
              </w:rPr>
            </w:pPr>
          </w:p>
        </w:tc>
        <w:tc>
          <w:tcPr>
            <w:tcW w:w="984" w:type="pct"/>
            <w:vMerge w:val="restart"/>
            <w:vAlign w:val="center"/>
          </w:tcPr>
          <w:p>
            <w:pPr>
              <w:jc w:val="center"/>
              <w:rPr>
                <w:b/>
                <w:color w:val="auto"/>
                <w:highlight w:val="none"/>
              </w:rPr>
            </w:pPr>
            <w:r>
              <w:rPr>
                <w:rFonts w:hint="eastAsia"/>
                <w:color w:val="auto"/>
                <w:highlight w:val="none"/>
              </w:rPr>
              <w:t>付款方式</w:t>
            </w:r>
          </w:p>
        </w:tc>
        <w:tc>
          <w:tcPr>
            <w:tcW w:w="3345" w:type="pct"/>
          </w:tcPr>
          <w:p>
            <w:pPr>
              <w:rPr>
                <w:color w:val="auto"/>
                <w:highlight w:val="none"/>
              </w:rPr>
            </w:pPr>
            <w:r>
              <w:rPr>
                <w:rFonts w:hint="eastAsia" w:ascii="宋体" w:hAnsi="宋体" w:cs="宋体"/>
                <w:color w:val="auto"/>
                <w:sz w:val="21"/>
                <w:szCs w:val="21"/>
                <w:lang w:val="en-US" w:eastAsia="zh-CN"/>
              </w:rPr>
              <w:t>6、</w:t>
            </w:r>
            <w:r>
              <w:rPr>
                <w:rFonts w:hint="eastAsia"/>
              </w:rPr>
              <w:t>设备安装调试完毕，经</w:t>
            </w:r>
            <w:r>
              <w:rPr>
                <w:rFonts w:hint="eastAsia"/>
                <w:lang w:val="en-US" w:eastAsia="zh-CN"/>
              </w:rPr>
              <w:t>采购人</w:t>
            </w:r>
            <w:r>
              <w:rPr>
                <w:rFonts w:hint="eastAsia"/>
              </w:rPr>
              <w:t>验收合格的，</w:t>
            </w:r>
            <w:r>
              <w:rPr>
                <w:rFonts w:hint="eastAsia"/>
                <w:lang w:val="en-US" w:eastAsia="zh-CN"/>
              </w:rPr>
              <w:t>中标人</w:t>
            </w:r>
            <w:r>
              <w:rPr>
                <w:rFonts w:hint="eastAsia"/>
              </w:rPr>
              <w:t>提供全额的发票，90天内支付合同总价的95%货款，保修期满后，由</w:t>
            </w:r>
            <w:r>
              <w:rPr>
                <w:rFonts w:hint="eastAsia"/>
                <w:lang w:val="en-US" w:eastAsia="zh-CN"/>
              </w:rPr>
              <w:t>中标人</w:t>
            </w:r>
            <w:r>
              <w:rPr>
                <w:rFonts w:hint="eastAsia"/>
              </w:rPr>
              <w:t>出申请，</w:t>
            </w:r>
            <w:r>
              <w:rPr>
                <w:rFonts w:hint="eastAsia"/>
                <w:lang w:val="en-US" w:eastAsia="zh-CN"/>
              </w:rPr>
              <w:t>采购人</w:t>
            </w:r>
            <w:r>
              <w:rPr>
                <w:rFonts w:hint="eastAsia"/>
              </w:rPr>
              <w:t>在一个月内无息付清5%质保金。保修期内，如</w:t>
            </w:r>
            <w:r>
              <w:rPr>
                <w:rFonts w:hint="eastAsia"/>
                <w:lang w:val="en-US" w:eastAsia="zh-CN"/>
              </w:rPr>
              <w:t>中标人</w:t>
            </w:r>
            <w:r>
              <w:rPr>
                <w:rFonts w:hint="eastAsia"/>
              </w:rPr>
              <w:t>未按照本合同的约定提供售后服务或履行义务的行为不符合本合同约定的，则质保金</w:t>
            </w:r>
            <w:r>
              <w:rPr>
                <w:rFonts w:hint="eastAsia"/>
                <w:lang w:val="en-US" w:eastAsia="zh-CN"/>
              </w:rPr>
              <w:t>采购人</w:t>
            </w:r>
            <w:r>
              <w:rPr>
                <w:rFonts w:hint="eastAsia"/>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70" w:type="pct"/>
            <w:vMerge w:val="continue"/>
            <w:vAlign w:val="center"/>
          </w:tcPr>
          <w:p>
            <w:pPr>
              <w:jc w:val="center"/>
              <w:rPr>
                <w:color w:val="auto"/>
                <w:highlight w:val="none"/>
              </w:rPr>
            </w:pPr>
          </w:p>
        </w:tc>
        <w:tc>
          <w:tcPr>
            <w:tcW w:w="984" w:type="pct"/>
            <w:vMerge w:val="continue"/>
          </w:tcPr>
          <w:p>
            <w:pPr>
              <w:rPr>
                <w:b/>
                <w:color w:val="auto"/>
                <w:highlight w:val="none"/>
              </w:rPr>
            </w:pPr>
          </w:p>
        </w:tc>
        <w:tc>
          <w:tcPr>
            <w:tcW w:w="3345"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670" w:type="pct"/>
            <w:vMerge w:val="continue"/>
            <w:vAlign w:val="center"/>
          </w:tcPr>
          <w:p>
            <w:pPr>
              <w:jc w:val="center"/>
              <w:rPr>
                <w:color w:val="auto"/>
                <w:highlight w:val="none"/>
              </w:rPr>
            </w:pPr>
          </w:p>
        </w:tc>
        <w:tc>
          <w:tcPr>
            <w:tcW w:w="984" w:type="pct"/>
            <w:vMerge w:val="continue"/>
          </w:tcPr>
          <w:p>
            <w:pPr>
              <w:rPr>
                <w:b/>
                <w:color w:val="auto"/>
                <w:highlight w:val="none"/>
              </w:rPr>
            </w:pPr>
          </w:p>
        </w:tc>
        <w:tc>
          <w:tcPr>
            <w:tcW w:w="3345"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pStyle w:val="2"/>
        <w:ind w:left="0" w:leftChars="0" w:firstLine="0" w:firstLineChars="0"/>
        <w:rPr>
          <w:bCs/>
          <w:szCs w:val="21"/>
        </w:rPr>
      </w:pPr>
    </w:p>
    <w:p>
      <w:pPr>
        <w:pStyle w:val="21"/>
        <w:keepNext w:val="0"/>
        <w:keepLines w:val="0"/>
        <w:pageBreakBefore w:val="0"/>
        <w:widowControl w:val="0"/>
        <w:numPr>
          <w:ilvl w:val="0"/>
          <w:numId w:val="2"/>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bookmarkStart w:id="0" w:name="_Toc18222"/>
      <w:r>
        <w:rPr>
          <w:rFonts w:hint="eastAsia" w:ascii="宋体" w:hAnsi="宋体" w:eastAsia="宋体" w:cs="Times New Roman"/>
          <w:b/>
          <w:bCs w:val="0"/>
          <w:kern w:val="2"/>
          <w:sz w:val="24"/>
          <w:szCs w:val="24"/>
          <w:lang w:val="en-US" w:eastAsia="zh-CN" w:bidi="ar-SA"/>
        </w:rPr>
        <w:t>综合评分表</w:t>
      </w:r>
      <w:bookmarkEnd w:id="0"/>
    </w:p>
    <w:p>
      <w:pPr>
        <w:numPr>
          <w:ilvl w:val="0"/>
          <w:numId w:val="0"/>
        </w:numPr>
        <w:rPr>
          <w:rFonts w:hint="eastAsia"/>
          <w:lang w:val="en-US" w:eastAsia="zh-CN"/>
        </w:rPr>
      </w:pPr>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pStyle w:val="295"/>
              <w:numPr>
                <w:ilvl w:val="0"/>
                <w:numId w:val="3"/>
              </w:numPr>
              <w:spacing w:line="360" w:lineRule="auto"/>
              <w:ind w:firstLineChars="0"/>
              <w:jc w:val="right"/>
              <w:rPr>
                <w:rFonts w:ascii="宋体" w:hAnsi="宋体"/>
                <w:color w:val="auto"/>
                <w:szCs w:val="21"/>
                <w:highlight w:val="none"/>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default" w:eastAsia="宋体"/>
                <w:color w:val="auto"/>
                <w:highlight w:val="none"/>
                <w:lang w:val="en-US" w:eastAsia="zh-CN"/>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6</w:t>
            </w:r>
            <w:r>
              <w:rPr>
                <w:rFonts w:hint="eastAsia"/>
                <w:color w:val="auto"/>
                <w:highlight w:val="none"/>
              </w:rPr>
              <w:t>分，其余一般参数每负偏离一项扣</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扣完为止。</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p>
      <w:pPr>
        <w:tabs>
          <w:tab w:val="left" w:pos="1260"/>
        </w:tabs>
        <w:spacing w:line="400" w:lineRule="exact"/>
        <w:rPr>
          <w:bCs/>
          <w:szCs w:val="21"/>
        </w:rPr>
      </w:pPr>
    </w:p>
    <w:sectPr>
      <w:footerReference r:id="rId3" w:type="default"/>
      <w:footerReference r:id="rId4" w:type="even"/>
      <w:pgSz w:w="11907" w:h="16840"/>
      <w:pgMar w:top="1440" w:right="1080" w:bottom="1440" w:left="108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Yu Gothic UI Semilight"/>
    <w:panose1 w:val="020B0406020202030204"/>
    <w:charset w:val="00"/>
    <w:family w:val="swiss"/>
    <w:pitch w:val="default"/>
    <w:sig w:usb0="00000000" w:usb1="00000000" w:usb2="00000000" w:usb3="00000000" w:csb0="0000001B" w:csb1="00000000"/>
  </w:font>
  <w:font w:name="Yu Gothic UI Semilight">
    <w:panose1 w:val="020B04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lvl>
  </w:abstractNum>
  <w:abstractNum w:abstractNumId="1">
    <w:nsid w:val="E32F8E75"/>
    <w:multiLevelType w:val="singleLevel"/>
    <w:tmpl w:val="E32F8E75"/>
    <w:lvl w:ilvl="0" w:tentative="0">
      <w:start w:val="7"/>
      <w:numFmt w:val="chineseCounting"/>
      <w:suff w:val="nothing"/>
      <w:lvlText w:val="%1．"/>
      <w:lvlJc w:val="left"/>
      <w:rPr>
        <w:rFonts w:hint="eastAsia"/>
      </w:r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7E3"/>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9FE7641"/>
    <w:rsid w:val="0AD31734"/>
    <w:rsid w:val="0FB06823"/>
    <w:rsid w:val="13AB1E25"/>
    <w:rsid w:val="13BE4524"/>
    <w:rsid w:val="149A5357"/>
    <w:rsid w:val="1A180936"/>
    <w:rsid w:val="1A807061"/>
    <w:rsid w:val="1D2B2FE6"/>
    <w:rsid w:val="20C13A8E"/>
    <w:rsid w:val="21A73358"/>
    <w:rsid w:val="2F67542B"/>
    <w:rsid w:val="31BF3637"/>
    <w:rsid w:val="36737028"/>
    <w:rsid w:val="3ACD1190"/>
    <w:rsid w:val="3BEB050A"/>
    <w:rsid w:val="452308D7"/>
    <w:rsid w:val="459270B5"/>
    <w:rsid w:val="47FE55F7"/>
    <w:rsid w:val="4D963DA9"/>
    <w:rsid w:val="4E7C753F"/>
    <w:rsid w:val="505134AB"/>
    <w:rsid w:val="51EA72D5"/>
    <w:rsid w:val="52461DA5"/>
    <w:rsid w:val="5279537C"/>
    <w:rsid w:val="52B9434F"/>
    <w:rsid w:val="54863D9F"/>
    <w:rsid w:val="552E4C16"/>
    <w:rsid w:val="56450116"/>
    <w:rsid w:val="579A513A"/>
    <w:rsid w:val="57E55E07"/>
    <w:rsid w:val="598E0A22"/>
    <w:rsid w:val="5AAD5871"/>
    <w:rsid w:val="5D6B104C"/>
    <w:rsid w:val="5E585CF5"/>
    <w:rsid w:val="5EB631EE"/>
    <w:rsid w:val="5EBA1DB1"/>
    <w:rsid w:val="6010702F"/>
    <w:rsid w:val="61077277"/>
    <w:rsid w:val="61202D75"/>
    <w:rsid w:val="631753EB"/>
    <w:rsid w:val="6405305E"/>
    <w:rsid w:val="6442037E"/>
    <w:rsid w:val="65147B6C"/>
    <w:rsid w:val="6ACC1717"/>
    <w:rsid w:val="6C9705C3"/>
    <w:rsid w:val="6CC81DB0"/>
    <w:rsid w:val="6E887300"/>
    <w:rsid w:val="6F0027AD"/>
    <w:rsid w:val="6F743592"/>
    <w:rsid w:val="71585AAE"/>
    <w:rsid w:val="7AFD4038"/>
    <w:rsid w:val="7C755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2"/>
    <w:qFormat/>
    <w:uiPriority w:val="0"/>
    <w:rPr>
      <w:rFonts w:ascii="Times New Roman" w:hAnsi="Times New Roman" w:eastAsia="宋体" w:cs="Times New Roman"/>
      <w:szCs w:val="20"/>
    </w:rPr>
  </w:style>
  <w:style w:type="character" w:customStyle="1" w:styleId="86">
    <w:name w:val="标题 3 Char1"/>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8"/>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6"/>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Revision"/>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577</Words>
  <Characters>3293</Characters>
  <Lines>27</Lines>
  <Paragraphs>7</Paragraphs>
  <TotalTime>3</TotalTime>
  <ScaleCrop>false</ScaleCrop>
  <LinksUpToDate>false</LinksUpToDate>
  <CharactersWithSpaces>3863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2021-12-16T02:45:48Z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C1B1FEC5197341A8BBD34577C969EEDB</vt:lpwstr>
  </property>
</Properties>
</file>