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rFonts w:hint="eastAsia" w:ascii="宋体" w:hAnsi="宋体" w:eastAsia="宋体" w:cs="宋体"/>
          <w:b/>
          <w:sz w:val="28"/>
          <w:szCs w:val="28"/>
        </w:rPr>
      </w:pPr>
      <w:bookmarkStart w:id="1" w:name="_GoBack"/>
      <w:r>
        <w:rPr>
          <w:rFonts w:hint="eastAsia" w:ascii="宋体" w:hAnsi="宋体" w:cs="宋体"/>
          <w:b/>
          <w:sz w:val="28"/>
          <w:szCs w:val="28"/>
        </w:rPr>
        <w:t>南方科技大学</w:t>
      </w:r>
      <w:r>
        <w:rPr>
          <w:rFonts w:hint="eastAsia" w:ascii="宋体" w:hAnsi="宋体" w:eastAsia="宋体" w:cs="宋体"/>
          <w:b/>
          <w:sz w:val="28"/>
          <w:szCs w:val="28"/>
        </w:rPr>
        <w:t>医院</w:t>
      </w:r>
      <w:r>
        <w:rPr>
          <w:rFonts w:hint="eastAsia" w:ascii="宋体" w:hAnsi="宋体" w:eastAsia="宋体" w:cs="宋体"/>
          <w:b/>
          <w:sz w:val="28"/>
          <w:szCs w:val="28"/>
          <w:lang w:val="en-US" w:eastAsia="zh-CN"/>
        </w:rPr>
        <w:t>-86℃超低温保存箱</w:t>
      </w:r>
      <w:r>
        <w:rPr>
          <w:rFonts w:hint="eastAsia" w:ascii="宋体" w:hAnsi="宋体" w:eastAsia="宋体" w:cs="宋体"/>
          <w:b/>
          <w:sz w:val="28"/>
          <w:szCs w:val="28"/>
        </w:rPr>
        <w:t>招标要求</w:t>
      </w:r>
      <w:bookmarkEnd w:id="1"/>
    </w:p>
    <w:p>
      <w:pPr>
        <w:rPr>
          <w:rFonts w:ascii="宋体" w:hAnsi="宋体"/>
          <w:b/>
          <w:sz w:val="24"/>
        </w:rPr>
      </w:pPr>
      <w:r>
        <w:rPr>
          <w:rFonts w:hint="eastAsia" w:ascii="宋体" w:hAnsi="宋体"/>
          <w:b/>
          <w:sz w:val="24"/>
        </w:rPr>
        <w:t>一、投标人资质要求：</w:t>
      </w:r>
    </w:p>
    <w:p>
      <w:pPr>
        <w:ind w:firstLine="240" w:firstLineChars="100"/>
        <w:rPr>
          <w:rFonts w:ascii="宋体"/>
          <w:sz w:val="24"/>
        </w:rPr>
      </w:pPr>
      <w:r>
        <w:rPr>
          <w:rFonts w:ascii="宋体" w:hAnsi="宋体"/>
          <w:sz w:val="24"/>
        </w:rPr>
        <w:t>1</w:t>
      </w:r>
      <w:r>
        <w:rPr>
          <w:rFonts w:hint="eastAsia" w:ascii="宋体" w:hAnsi="宋体"/>
          <w:sz w:val="24"/>
        </w:rPr>
        <w:t>、投标人必须具有独立法人资格；</w:t>
      </w:r>
    </w:p>
    <w:p>
      <w:pPr>
        <w:ind w:firstLine="240" w:firstLineChars="100"/>
        <w:rPr>
          <w:rFonts w:ascii="宋体" w:hAnsi="宋体"/>
          <w:sz w:val="24"/>
        </w:rPr>
      </w:pPr>
      <w:r>
        <w:rPr>
          <w:rFonts w:hint="eastAsia" w:ascii="宋体" w:hAnsi="宋体"/>
          <w:sz w:val="24"/>
        </w:rPr>
        <w:t>2、若所投产品为进口产品，则投标人必须为提供所投产品的制造商或合法代理商或合法授权供应商（提供相关证明）；若所投产品是国内产品（非进口产品），则投标人不需要提供其为所投产品的制造商或合法代理商或合法授权供应商的证明；</w:t>
      </w:r>
    </w:p>
    <w:p>
      <w:pPr>
        <w:ind w:firstLine="240" w:firstLineChars="100"/>
        <w:rPr>
          <w:rFonts w:ascii="宋体" w:hAnsi="宋体"/>
          <w:sz w:val="24"/>
        </w:rPr>
      </w:pPr>
      <w:r>
        <w:rPr>
          <w:rFonts w:hint="eastAsia" w:ascii="宋体" w:hAnsi="宋体"/>
          <w:sz w:val="24"/>
        </w:rPr>
        <w:t>3、投标人提供针对所投产品的《医疗器械备案凭证》或《医疗器械注册证》或非医疗器械说明；</w:t>
      </w:r>
    </w:p>
    <w:p>
      <w:pPr>
        <w:ind w:firstLine="240" w:firstLineChars="100"/>
        <w:rPr>
          <w:rFonts w:ascii="宋体" w:hAnsi="宋体"/>
          <w:sz w:val="24"/>
        </w:rPr>
      </w:pPr>
      <w:r>
        <w:rPr>
          <w:rFonts w:hint="eastAsia" w:ascii="宋体" w:hAnsi="宋体"/>
          <w:sz w:val="24"/>
        </w:rPr>
        <w:t>4、投标人所投产品为III类医疗器械的必须具有《医疗器械经营许可证》或《医疗器械生产许可证》；</w:t>
      </w:r>
    </w:p>
    <w:p>
      <w:pPr>
        <w:ind w:firstLine="240" w:firstLineChars="100"/>
        <w:rPr>
          <w:rFonts w:ascii="宋体" w:hAnsi="宋体"/>
          <w:sz w:val="24"/>
        </w:rPr>
      </w:pPr>
      <w:r>
        <w:rPr>
          <w:rFonts w:hint="eastAsia" w:ascii="宋体" w:hAnsi="宋体"/>
          <w:sz w:val="24"/>
        </w:rPr>
        <w:t>5、本项目不接受联合体投标人。</w:t>
      </w:r>
    </w:p>
    <w:p>
      <w:pPr>
        <w:rPr>
          <w:rFonts w:ascii="宋体" w:hAnsi="宋体"/>
          <w:b/>
          <w:sz w:val="24"/>
        </w:rPr>
      </w:pPr>
      <w:r>
        <w:rPr>
          <w:rFonts w:hint="eastAsia" w:ascii="宋体" w:hAnsi="宋体"/>
          <w:b/>
          <w:sz w:val="24"/>
        </w:rPr>
        <w:t>二、货物清单:</w:t>
      </w:r>
    </w:p>
    <w:tbl>
      <w:tblPr>
        <w:tblStyle w:val="54"/>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2916"/>
        <w:gridCol w:w="1018"/>
        <w:gridCol w:w="993"/>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2916"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货物名称</w:t>
            </w:r>
          </w:p>
        </w:tc>
        <w:tc>
          <w:tcPr>
            <w:tcW w:w="101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数量</w:t>
            </w:r>
          </w:p>
        </w:tc>
        <w:tc>
          <w:tcPr>
            <w:tcW w:w="99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单位</w:t>
            </w:r>
          </w:p>
        </w:tc>
        <w:tc>
          <w:tcPr>
            <w:tcW w:w="2292"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预算金额</w:t>
            </w:r>
          </w:p>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44"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eastAsia="宋体"/>
                <w:b/>
                <w:bCs/>
                <w:color w:val="000000" w:themeColor="text1"/>
                <w:szCs w:val="21"/>
                <w:lang w:val="en-US" w:eastAsia="zh-CN"/>
                <w14:textFill>
                  <w14:solidFill>
                    <w14:schemeClr w14:val="tx1"/>
                  </w14:solidFill>
                </w14:textFill>
              </w:rPr>
              <w:t>1</w:t>
            </w:r>
          </w:p>
        </w:tc>
        <w:tc>
          <w:tcPr>
            <w:tcW w:w="2916"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eastAsia="宋体"/>
                <w:b/>
                <w:bCs/>
                <w:color w:val="000000" w:themeColor="text1"/>
                <w:szCs w:val="21"/>
                <w:lang w:val="en-US" w:eastAsia="zh-CN"/>
                <w14:textFill>
                  <w14:solidFill>
                    <w14:schemeClr w14:val="tx1"/>
                  </w14:solidFill>
                </w14:textFill>
              </w:rPr>
              <w:t>-86℃超低温保存箱</w:t>
            </w:r>
          </w:p>
        </w:tc>
        <w:tc>
          <w:tcPr>
            <w:tcW w:w="1018"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eastAsia="宋体"/>
                <w:b/>
                <w:bCs/>
                <w:color w:val="000000" w:themeColor="text1"/>
                <w:szCs w:val="21"/>
                <w:lang w:val="en-US" w:eastAsia="zh-CN"/>
                <w14:textFill>
                  <w14:solidFill>
                    <w14:schemeClr w14:val="tx1"/>
                  </w14:solidFill>
                </w14:textFill>
              </w:rPr>
              <w:t>1</w:t>
            </w:r>
          </w:p>
        </w:tc>
        <w:tc>
          <w:tcPr>
            <w:tcW w:w="993" w:type="dxa"/>
            <w:vAlign w:val="center"/>
          </w:tcPr>
          <w:p>
            <w:pPr>
              <w:jc w:val="center"/>
              <w:rPr>
                <w:rFonts w:hint="eastAsia" w:eastAsia="宋体"/>
                <w:b/>
                <w:bCs/>
                <w:color w:val="000000" w:themeColor="text1"/>
                <w:szCs w:val="21"/>
                <w:lang w:val="en-US" w:eastAsia="zh-CN"/>
                <w14:textFill>
                  <w14:solidFill>
                    <w14:schemeClr w14:val="tx1"/>
                  </w14:solidFill>
                </w14:textFill>
              </w:rPr>
            </w:pPr>
            <w:r>
              <w:rPr>
                <w:rFonts w:hint="eastAsia" w:eastAsia="宋体"/>
                <w:b/>
                <w:bCs/>
                <w:color w:val="000000" w:themeColor="text1"/>
                <w:szCs w:val="21"/>
                <w:lang w:val="en-US" w:eastAsia="zh-CN"/>
                <w14:textFill>
                  <w14:solidFill>
                    <w14:schemeClr w14:val="tx1"/>
                  </w14:solidFill>
                </w14:textFill>
              </w:rPr>
              <w:t>台</w:t>
            </w:r>
          </w:p>
        </w:tc>
        <w:tc>
          <w:tcPr>
            <w:tcW w:w="2292" w:type="dxa"/>
            <w:vAlign w:val="center"/>
          </w:tcPr>
          <w:p>
            <w:pPr>
              <w:jc w:val="center"/>
              <w:rPr>
                <w:rFonts w:hint="default" w:eastAsia="宋体"/>
                <w:b/>
                <w:bCs/>
                <w:color w:val="000000" w:themeColor="text1"/>
                <w:szCs w:val="21"/>
                <w:lang w:val="en-US" w:eastAsia="zh-CN"/>
                <w14:textFill>
                  <w14:solidFill>
                    <w14:schemeClr w14:val="tx1"/>
                  </w14:solidFill>
                </w14:textFill>
              </w:rPr>
            </w:pPr>
            <w:r>
              <w:rPr>
                <w:rFonts w:hint="eastAsia" w:eastAsia="宋体"/>
                <w:b/>
                <w:bCs/>
                <w:color w:val="000000" w:themeColor="text1"/>
                <w:szCs w:val="21"/>
                <w:lang w:val="en-US" w:eastAsia="zh-CN"/>
                <w14:textFill>
                  <w14:solidFill>
                    <w14:schemeClr w14:val="tx1"/>
                  </w14:solidFill>
                </w14:textFill>
              </w:rPr>
              <w:t>9.5</w:t>
            </w:r>
          </w:p>
        </w:tc>
      </w:tr>
    </w:tbl>
    <w:p>
      <w:pPr>
        <w:pStyle w:val="6"/>
        <w:numPr>
          <w:ilvl w:val="0"/>
          <w:numId w:val="1"/>
        </w:numPr>
        <w:spacing w:beforeLines="50" w:afterLines="50"/>
        <w:jc w:val="both"/>
        <w:rPr>
          <w:rFonts w:hint="eastAsia"/>
          <w:bCs w:val="0"/>
          <w:kern w:val="2"/>
          <w:szCs w:val="24"/>
          <w:lang w:eastAsia="zh-CN"/>
        </w:rPr>
      </w:pPr>
      <w:r>
        <w:rPr>
          <w:rFonts w:hint="eastAsia"/>
          <w:bCs w:val="0"/>
          <w:kern w:val="2"/>
          <w:szCs w:val="24"/>
        </w:rPr>
        <w:t xml:space="preserve">具体技术要求  </w:t>
      </w:r>
      <w:r>
        <w:rPr>
          <w:rFonts w:hint="eastAsia"/>
          <w:bCs w:val="0"/>
          <w:kern w:val="2"/>
          <w:szCs w:val="24"/>
          <w:lang w:eastAsia="zh-CN"/>
        </w:rPr>
        <w:t>、</w:t>
      </w:r>
    </w:p>
    <w:tbl>
      <w:tblPr>
        <w:tblStyle w:val="5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276"/>
        <w:gridCol w:w="5792"/>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序号</w:t>
            </w:r>
          </w:p>
        </w:tc>
        <w:tc>
          <w:tcPr>
            <w:tcW w:w="1276"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货物名称</w:t>
            </w:r>
          </w:p>
        </w:tc>
        <w:tc>
          <w:tcPr>
            <w:tcW w:w="5792"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招标技术要求</w:t>
            </w:r>
          </w:p>
        </w:tc>
        <w:tc>
          <w:tcPr>
            <w:tcW w:w="1189"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vAlign w:val="center"/>
          </w:tcPr>
          <w:p>
            <w:pPr>
              <w:jc w:val="both"/>
              <w:rPr>
                <w:rFonts w:hint="default" w:ascii="宋体" w:hAnsi="宋体" w:eastAsia="宋体"/>
                <w:szCs w:val="21"/>
                <w:lang w:val="en-US" w:eastAsia="zh-CN"/>
              </w:rPr>
            </w:pPr>
            <w:r>
              <w:rPr>
                <w:rFonts w:hint="eastAsia" w:ascii="宋体" w:hAnsi="宋体" w:eastAsia="宋体"/>
                <w:szCs w:val="21"/>
                <w:lang w:val="en-US" w:eastAsia="zh-CN"/>
              </w:rPr>
              <w:t>1</w:t>
            </w:r>
          </w:p>
        </w:tc>
        <w:tc>
          <w:tcPr>
            <w:tcW w:w="1276" w:type="dxa"/>
            <w:vMerge w:val="restart"/>
            <w:vAlign w:val="center"/>
          </w:tcPr>
          <w:p>
            <w:pPr>
              <w:jc w:val="both"/>
              <w:rPr>
                <w:rFonts w:hint="eastAsia" w:ascii="宋体" w:hAnsi="宋体" w:eastAsia="宋体"/>
                <w:szCs w:val="21"/>
                <w:lang w:eastAsia="zh-CN"/>
              </w:rPr>
            </w:pPr>
            <w:r>
              <w:rPr>
                <w:rFonts w:hint="eastAsia" w:eastAsia="宋体"/>
                <w:b/>
                <w:bCs/>
                <w:color w:val="000000" w:themeColor="text1"/>
                <w:szCs w:val="21"/>
                <w:lang w:val="en-US" w:eastAsia="zh-CN"/>
                <w14:textFill>
                  <w14:solidFill>
                    <w14:schemeClr w14:val="tx1"/>
                  </w14:solidFill>
                </w14:textFill>
              </w:rPr>
              <w:t>-86℃超低温保存箱</w:t>
            </w:r>
          </w:p>
        </w:tc>
        <w:tc>
          <w:tcPr>
            <w:tcW w:w="5792" w:type="dxa"/>
            <w:vAlign w:val="top"/>
          </w:tcPr>
          <w:p>
            <w:pPr>
              <w:autoSpaceDE w:val="0"/>
              <w:autoSpaceDN w:val="0"/>
              <w:spacing w:line="360" w:lineRule="auto"/>
              <w:jc w:val="left"/>
              <w:rPr>
                <w:rFonts w:hint="eastAsia" w:ascii="宋体" w:hAnsi="宋体" w:eastAsia="宋体"/>
                <w:szCs w:val="21"/>
                <w:lang w:eastAsia="zh-CN"/>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温度范围-10°C～-86°C可调节，适用范围在-40°C～-86°C 范围，</w:t>
            </w:r>
            <w:r>
              <w:rPr>
                <w:rFonts w:ascii="宋体" w:hAnsi="宋体" w:eastAsia="宋体" w:cs="宋体"/>
                <w:sz w:val="21"/>
                <w:szCs w:val="21"/>
              </w:rPr>
              <w:t>控温精度0.1℃</w:t>
            </w:r>
            <w:r>
              <w:rPr>
                <w:rFonts w:ascii="宋体" w:hAnsi="宋体" w:eastAsia="宋体" w:cs="宋体"/>
                <w:color w:val="000000" w:themeColor="text1"/>
                <w:sz w:val="21"/>
                <w:szCs w:val="21"/>
                <w14:textFill>
                  <w14:solidFill>
                    <w14:schemeClr w14:val="tx1"/>
                  </w14:solidFill>
                </w14:textFill>
              </w:rPr>
              <w:t>。</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autoSpaceDE w:val="0"/>
              <w:autoSpaceDN w:val="0"/>
              <w:spacing w:line="360" w:lineRule="auto"/>
              <w:jc w:val="left"/>
              <w:rPr>
                <w:rFonts w:hint="eastAsia" w:ascii="宋体" w:hAnsi="宋体" w:eastAsia="宋体"/>
                <w:szCs w:val="21"/>
                <w:lang w:eastAsia="zh-CN"/>
              </w:rPr>
            </w:pPr>
            <w:r>
              <w:rPr>
                <w:rFonts w:ascii="宋体" w:hAnsi="宋体" w:eastAsia="宋体" w:cs="宋体"/>
                <w:color w:val="000000" w:themeColor="text1"/>
                <w:sz w:val="21"/>
                <w:szCs w:val="21"/>
                <w14:textFill>
                  <w14:solidFill>
                    <w14:schemeClr w14:val="tx1"/>
                  </w14:solidFill>
                </w14:textFill>
              </w:rPr>
              <w:t>▲</w:t>
            </w:r>
            <w:r>
              <w:rPr>
                <w:rFonts w:ascii="宋体" w:hAnsi="宋体" w:eastAsia="宋体" w:cs="宋体"/>
                <w:sz w:val="21"/>
                <w:szCs w:val="21"/>
              </w:rPr>
              <w:t>2、微电脑控制， 10寸LCD电容屏，直观显示箱内温度、环境温度、输入电压和温度曲线等数据，显示精度0.1℃，可连接</w:t>
            </w:r>
            <w:r>
              <w:rPr>
                <w:rFonts w:ascii="宋体" w:hAnsi="宋体" w:eastAsia="宋体" w:cs="宋体"/>
                <w:color w:val="000000" w:themeColor="text1"/>
                <w:sz w:val="21"/>
                <w:szCs w:val="21"/>
                <w14:textFill>
                  <w14:solidFill>
                    <w14:schemeClr w14:val="tx1"/>
                  </w14:solidFill>
                </w14:textFill>
              </w:rPr>
              <w:t>wifi实现远程升级；</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numPr>
                <w:ilvl w:val="0"/>
                <w:numId w:val="2"/>
              </w:numPr>
              <w:autoSpaceDE w:val="0"/>
              <w:autoSpaceDN w:val="0"/>
              <w:spacing w:line="360" w:lineRule="auto"/>
              <w:ind w:left="360" w:leftChars="0" w:hanging="360" w:firstLineChars="0"/>
              <w:jc w:val="left"/>
              <w:rPr>
                <w:rFonts w:hint="eastAsia" w:ascii="宋体" w:hAnsi="宋体" w:eastAsia="宋体"/>
                <w:szCs w:val="21"/>
                <w:lang w:eastAsia="zh-CN"/>
              </w:rPr>
            </w:pPr>
            <w:r>
              <w:rPr>
                <w:rFonts w:ascii="宋体" w:hAnsi="宋体" w:eastAsia="宋体" w:cs="宋体"/>
                <w:color w:val="000000" w:themeColor="text1"/>
                <w:sz w:val="21"/>
                <w:szCs w:val="21"/>
                <w14:textFill>
                  <w14:solidFill>
                    <w14:schemeClr w14:val="tx1"/>
                  </w14:solidFill>
                </w14:textFill>
              </w:rPr>
              <w:t>冰箱内有效容积≥720L，整机装箱量（2ML冻存管容量）50000份样本</w:t>
            </w:r>
            <w:r>
              <w:rPr>
                <w:rFonts w:ascii="宋体" w:hAnsi="宋体" w:eastAsia="宋体" w:cs="宋体"/>
                <w:sz w:val="21"/>
                <w:szCs w:val="21"/>
              </w:rPr>
              <w:t>；</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autoSpaceDE w:val="0"/>
              <w:autoSpaceDN w:val="0"/>
              <w:spacing w:line="360" w:lineRule="auto"/>
              <w:jc w:val="left"/>
              <w:rPr>
                <w:rFonts w:hint="eastAsia" w:ascii="宋体" w:hAnsi="宋体" w:eastAsia="宋体"/>
                <w:szCs w:val="21"/>
                <w:lang w:eastAsia="zh-CN"/>
              </w:rPr>
            </w:pPr>
            <w:r>
              <w:rPr>
                <w:rFonts w:ascii="宋体" w:hAnsi="宋体" w:eastAsia="宋体" w:cs="宋体"/>
                <w:color w:val="000000" w:themeColor="text1"/>
                <w:sz w:val="21"/>
                <w:szCs w:val="21"/>
                <w14:textFill>
                  <w14:solidFill>
                    <w14:schemeClr w14:val="tx1"/>
                  </w14:solidFill>
                </w14:textFill>
              </w:rPr>
              <w:t>4、具有多种故障报警，高低温报警、传感器故障报警、冷凝器脏报警、环温超标报警、断电报警、开门报警、电池未连接报警；</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autoSpaceDE w:val="0"/>
              <w:autoSpaceDN w:val="0"/>
              <w:spacing w:line="360" w:lineRule="auto"/>
              <w:jc w:val="left"/>
              <w:rPr>
                <w:rFonts w:hint="eastAsia" w:ascii="宋体" w:hAnsi="宋体" w:eastAsia="宋体"/>
                <w:szCs w:val="21"/>
                <w:lang w:eastAsia="zh-CN"/>
              </w:rPr>
            </w:pPr>
            <w:r>
              <w:rPr>
                <w:rFonts w:ascii="宋体" w:hAnsi="宋体" w:eastAsia="宋体" w:cs="宋体"/>
                <w:color w:val="000000" w:themeColor="text1"/>
                <w:sz w:val="21"/>
                <w:szCs w:val="21"/>
                <w14:textFill>
                  <w14:solidFill>
                    <w14:schemeClr w14:val="tx1"/>
                  </w14:solidFill>
                </w14:textFill>
              </w:rPr>
              <w:t>▲5、</w:t>
            </w:r>
            <w:r>
              <w:rPr>
                <w:rFonts w:ascii="宋体" w:hAnsi="宋体" w:eastAsia="宋体" w:cs="宋体"/>
                <w:sz w:val="21"/>
                <w:szCs w:val="21"/>
              </w:rPr>
              <w:t>报警方式，声音蜂鸣报警、灯光闪烁报警</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autoSpaceDE w:val="0"/>
              <w:autoSpaceDN w:val="0"/>
              <w:spacing w:line="360" w:lineRule="auto"/>
              <w:jc w:val="left"/>
              <w:rPr>
                <w:rFonts w:hint="eastAsia" w:ascii="宋体" w:hAnsi="宋体" w:eastAsia="宋体"/>
                <w:szCs w:val="21"/>
                <w:lang w:eastAsia="zh-CN"/>
              </w:rPr>
            </w:pPr>
            <w:r>
              <w:rPr>
                <w:rFonts w:ascii="宋体" w:hAnsi="宋体" w:eastAsia="宋体" w:cs="宋体"/>
                <w:sz w:val="21"/>
                <w:szCs w:val="21"/>
              </w:rPr>
              <w:t>6、多重保护功能，开机延时保护、过电流保护、过压保护、显示屏密码保护、断电记忆数据保护；</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spacing w:line="360" w:lineRule="auto"/>
              <w:jc w:val="left"/>
              <w:rPr>
                <w:rFonts w:hint="eastAsia" w:ascii="宋体" w:hAnsi="宋体" w:eastAsia="宋体"/>
                <w:szCs w:val="21"/>
                <w:lang w:eastAsia="zh-CN"/>
              </w:rPr>
            </w:pPr>
            <w:r>
              <w:rPr>
                <w:rFonts w:ascii="宋体" w:hAnsi="宋体" w:eastAsia="宋体" w:cs="宋体"/>
                <w:color w:val="000000" w:themeColor="text1"/>
                <w:sz w:val="21"/>
                <w:szCs w:val="21"/>
                <w14:textFill>
                  <w14:solidFill>
                    <w14:schemeClr w14:val="tx1"/>
                  </w14:solidFill>
                </w14:textFill>
              </w:rPr>
              <w:t>▲7、采用HC环保制冷剂和双级复叠制冷系统，明确制冷剂用量，制冷剂用量符合国家安全标准,单制冷系统可燃制冷剂灌注量不高于150g；</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spacing w:line="360" w:lineRule="auto"/>
              <w:jc w:val="left"/>
              <w:rPr>
                <w:rFonts w:hint="eastAsia" w:ascii="宋体" w:hAnsi="宋体" w:eastAsia="宋体"/>
                <w:szCs w:val="21"/>
                <w:lang w:eastAsia="zh-CN"/>
              </w:rPr>
            </w:pPr>
            <w:r>
              <w:rPr>
                <w:rFonts w:ascii="宋体" w:hAnsi="宋体" w:eastAsia="宋体" w:cs="宋体"/>
                <w:color w:val="000000" w:themeColor="text1"/>
                <w:sz w:val="21"/>
                <w:szCs w:val="21"/>
                <w14:textFill>
                  <w14:solidFill>
                    <w14:schemeClr w14:val="tx1"/>
                  </w14:solidFill>
                </w14:textFill>
              </w:rPr>
              <w:t>8、根据低温保存箱国家标准GB/T 20154要求，低温保存箱铭牌上要标注制冷剂的详细名称及装入量；</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pStyle w:val="149"/>
              <w:autoSpaceDE w:val="0"/>
              <w:autoSpaceDN w:val="0"/>
              <w:spacing w:line="360" w:lineRule="auto"/>
              <w:jc w:val="both"/>
              <w:rPr>
                <w:rFonts w:hint="eastAsia" w:ascii="宋体" w:hAnsi="宋体" w:eastAsia="宋体"/>
                <w:szCs w:val="21"/>
                <w:lang w:eastAsia="zh-CN"/>
              </w:rPr>
            </w:pPr>
            <w:r>
              <w:rPr>
                <w:rFonts w:ascii="宋体" w:hAnsi="宋体" w:eastAsia="宋体" w:cs="宋体"/>
                <w:color w:val="000000" w:themeColor="text1"/>
                <w:sz w:val="21"/>
                <w:szCs w:val="21"/>
                <w14:textFill>
                  <w14:solidFill>
                    <w14:schemeClr w14:val="tx1"/>
                  </w14:solidFill>
                </w14:textFill>
              </w:rPr>
              <w:t>9、符合《低温保存箱节能环保认证技术规范》要求，并获取节能、环保报告及证书； 提供中国质量中心节能证书和环保证书（原件备查，并提供CQC网站截图及网址备查）；</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pStyle w:val="149"/>
              <w:autoSpaceDE w:val="0"/>
              <w:autoSpaceDN w:val="0"/>
              <w:spacing w:line="360" w:lineRule="auto"/>
              <w:jc w:val="both"/>
              <w:rPr>
                <w:rFonts w:hint="eastAsia" w:ascii="宋体" w:hAnsi="宋体" w:eastAsia="宋体"/>
                <w:szCs w:val="21"/>
                <w:lang w:eastAsia="zh-CN"/>
              </w:rPr>
            </w:pPr>
            <w:r>
              <w:rPr>
                <w:rFonts w:ascii="宋体" w:hAnsi="宋体" w:eastAsia="宋体" w:cs="宋体"/>
                <w:color w:val="000000" w:themeColor="text1"/>
                <w:sz w:val="21"/>
                <w:szCs w:val="21"/>
                <w14:textFill>
                  <w14:solidFill>
                    <w14:schemeClr w14:val="tx1"/>
                  </w14:solidFill>
                </w14:textFill>
              </w:rPr>
              <w:t xml:space="preserve">10、25℃环温时，耗电量应≤10Kw.h/24h； </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numPr>
                <w:ilvl w:val="0"/>
                <w:numId w:val="3"/>
              </w:numPr>
              <w:spacing w:line="360" w:lineRule="auto"/>
              <w:jc w:val="left"/>
              <w:rPr>
                <w:rFonts w:hint="eastAsia" w:ascii="宋体" w:hAnsi="宋体" w:eastAsia="宋体"/>
                <w:szCs w:val="21"/>
                <w:lang w:eastAsia="zh-CN"/>
              </w:rPr>
            </w:pPr>
            <w:r>
              <w:rPr>
                <w:rFonts w:ascii="宋体" w:hAnsi="宋体" w:eastAsia="宋体" w:cs="宋体"/>
                <w:sz w:val="21"/>
                <w:szCs w:val="21"/>
              </w:rPr>
              <w:t>进口品牌压缩机，2个压缩机，整机稳定运行功率≤1000W;</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autoSpaceDE w:val="0"/>
              <w:autoSpaceDN w:val="0"/>
              <w:spacing w:line="360" w:lineRule="auto"/>
              <w:jc w:val="left"/>
              <w:rPr>
                <w:rFonts w:hint="eastAsia" w:ascii="宋体" w:hAnsi="宋体" w:eastAsia="宋体"/>
                <w:szCs w:val="21"/>
                <w:lang w:eastAsia="zh-CN"/>
              </w:rPr>
            </w:pPr>
            <w:r>
              <w:rPr>
                <w:rFonts w:ascii="宋体" w:hAnsi="宋体" w:eastAsia="宋体" w:cs="宋体"/>
                <w:color w:val="000000" w:themeColor="text1"/>
                <w:sz w:val="21"/>
                <w:szCs w:val="21"/>
                <w14:textFill>
                  <w14:solidFill>
                    <w14:schemeClr w14:val="tx1"/>
                  </w14:solidFill>
                </w14:textFill>
              </w:rPr>
              <w:t>▲12、冷凝风机：冷凝风机两个，可根据环静温度实现智能开停，有效节能，降低噪音。</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autoSpaceDE w:val="0"/>
              <w:autoSpaceDN w:val="0"/>
              <w:spacing w:line="360" w:lineRule="auto"/>
              <w:jc w:val="left"/>
              <w:rPr>
                <w:rFonts w:hint="eastAsia" w:ascii="宋体" w:hAnsi="宋体" w:eastAsia="宋体"/>
                <w:szCs w:val="21"/>
                <w:lang w:eastAsia="zh-CN"/>
              </w:rPr>
            </w:pPr>
            <w:r>
              <w:rPr>
                <w:rFonts w:ascii="宋体" w:hAnsi="宋体" w:eastAsia="宋体" w:cs="宋体"/>
                <w:color w:val="000000" w:themeColor="text1"/>
                <w:sz w:val="21"/>
                <w:szCs w:val="21"/>
                <w14:textFill>
                  <w14:solidFill>
                    <w14:schemeClr w14:val="tx1"/>
                  </w14:solidFill>
                </w14:textFill>
              </w:rPr>
              <w:t>▲13、、箱内温度均匀性要求，每层5点（四角及中心），整机多于20点测试，温度均匀性≤±4℃；提供国家级别第三方机构报告，需证明该实验室同时符合CNAS、ILAC资格；</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autoSpaceDE w:val="0"/>
              <w:autoSpaceDN w:val="0"/>
              <w:spacing w:line="360" w:lineRule="auto"/>
              <w:jc w:val="left"/>
              <w:rPr>
                <w:rFonts w:hint="eastAsia" w:ascii="宋体" w:hAnsi="宋体" w:eastAsia="宋体"/>
                <w:szCs w:val="21"/>
                <w:lang w:eastAsia="zh-CN"/>
              </w:rPr>
            </w:pPr>
            <w:r>
              <w:rPr>
                <w:rFonts w:ascii="宋体" w:hAnsi="宋体" w:eastAsia="宋体" w:cs="宋体"/>
                <w:color w:val="000000" w:themeColor="text1"/>
                <w:sz w:val="21"/>
                <w:szCs w:val="21"/>
                <w14:textFill>
                  <w14:solidFill>
                    <w14:schemeClr w14:val="tx1"/>
                  </w14:solidFill>
                </w14:textFill>
              </w:rPr>
              <w:t>14、25℃环温，设定-80℃，降温速度≤5.5小时；</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autoSpaceDE w:val="0"/>
              <w:autoSpaceDN w:val="0"/>
              <w:spacing w:line="360" w:lineRule="auto"/>
              <w:jc w:val="left"/>
              <w:rPr>
                <w:rFonts w:hint="eastAsia" w:ascii="宋体" w:hAnsi="宋体" w:eastAsia="宋体"/>
                <w:szCs w:val="21"/>
                <w:lang w:eastAsia="zh-CN"/>
              </w:rPr>
            </w:pPr>
            <w:r>
              <w:rPr>
                <w:rFonts w:ascii="宋体" w:hAnsi="宋体" w:eastAsia="宋体" w:cs="宋体"/>
                <w:color w:val="000000" w:themeColor="text1"/>
                <w:sz w:val="21"/>
                <w:szCs w:val="21"/>
                <w14:textFill>
                  <w14:solidFill>
                    <w14:schemeClr w14:val="tx1"/>
                  </w14:solidFill>
                </w14:textFill>
              </w:rPr>
              <w:t>27、25℃环温，冰箱断电，箱内温度从-80℃至-50℃，大于280min；</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autoSpaceDE w:val="0"/>
              <w:autoSpaceDN w:val="0"/>
              <w:spacing w:line="360" w:lineRule="auto"/>
              <w:jc w:val="left"/>
              <w:rPr>
                <w:rFonts w:hint="eastAsia" w:ascii="宋体" w:hAnsi="宋体" w:eastAsia="宋体"/>
                <w:szCs w:val="21"/>
                <w:lang w:eastAsia="zh-CN"/>
              </w:rPr>
            </w:pPr>
            <w:r>
              <w:rPr>
                <w:rFonts w:ascii="宋体" w:hAnsi="宋体" w:eastAsia="宋体" w:cs="宋体"/>
                <w:color w:val="000000" w:themeColor="text1"/>
                <w:sz w:val="21"/>
                <w:szCs w:val="21"/>
                <w14:textFill>
                  <w14:solidFill>
                    <w14:schemeClr w14:val="tx1"/>
                  </w14:solidFill>
                </w14:textFill>
              </w:rPr>
              <w:t>15、一体式手把门锁设计，单手实现开关门。可同时使用暗锁（四把钥匙）及双挂锁，选配电磁锁（打卡或指纹）；</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autoSpaceDE w:val="0"/>
              <w:autoSpaceDN w:val="0"/>
              <w:spacing w:line="360" w:lineRule="auto"/>
              <w:jc w:val="left"/>
              <w:rPr>
                <w:rFonts w:hint="eastAsia" w:ascii="宋体" w:hAnsi="宋体" w:eastAsia="宋体"/>
                <w:szCs w:val="21"/>
                <w:lang w:eastAsia="zh-CN"/>
              </w:rPr>
            </w:pPr>
            <w:r>
              <w:rPr>
                <w:rFonts w:ascii="宋体" w:hAnsi="宋体" w:eastAsia="宋体" w:cs="宋体"/>
                <w:color w:val="000000" w:themeColor="text1"/>
                <w:sz w:val="21"/>
                <w:szCs w:val="21"/>
                <w14:textFill>
                  <w14:solidFill>
                    <w14:schemeClr w14:val="tx1"/>
                  </w14:solidFill>
                </w14:textFill>
              </w:rPr>
              <w:t>▲16、4 个发泡内门并带密封条设计，外门4层密封，整机共计5层密封，保温效果好；</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autoSpaceDE w:val="0"/>
              <w:autoSpaceDN w:val="0"/>
              <w:spacing w:line="360" w:lineRule="auto"/>
              <w:jc w:val="left"/>
              <w:rPr>
                <w:rFonts w:hint="eastAsia" w:ascii="宋体" w:hAnsi="宋体" w:eastAsia="宋体"/>
                <w:szCs w:val="21"/>
                <w:lang w:eastAsia="zh-CN"/>
              </w:rPr>
            </w:pPr>
            <w:r>
              <w:rPr>
                <w:rFonts w:ascii="宋体" w:hAnsi="宋体" w:eastAsia="宋体" w:cs="宋体"/>
                <w:color w:val="000000" w:themeColor="text1"/>
                <w:sz w:val="21"/>
                <w:szCs w:val="21"/>
                <w14:textFill>
                  <w14:solidFill>
                    <w14:schemeClr w14:val="tx1"/>
                  </w14:solidFill>
                </w14:textFill>
              </w:rPr>
              <w:t>17、使用航空真空隔热材料VIP+PU整体发泡，VIP厚度≥25mm；</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autoSpaceDE w:val="0"/>
              <w:autoSpaceDN w:val="0"/>
              <w:spacing w:line="360" w:lineRule="auto"/>
              <w:jc w:val="left"/>
              <w:rPr>
                <w:rFonts w:hint="eastAsia" w:ascii="宋体" w:hAnsi="宋体" w:eastAsia="宋体"/>
                <w:szCs w:val="21"/>
                <w:lang w:eastAsia="zh-CN"/>
              </w:rPr>
            </w:pPr>
            <w:r>
              <w:rPr>
                <w:rFonts w:ascii="宋体" w:hAnsi="宋体" w:eastAsia="宋体" w:cs="宋体"/>
                <w:color w:val="000000" w:themeColor="text1"/>
                <w:sz w:val="21"/>
                <w:szCs w:val="21"/>
                <w14:textFill>
                  <w14:solidFill>
                    <w14:schemeClr w14:val="tx1"/>
                  </w14:solidFill>
                </w14:textFill>
              </w:rPr>
              <w:t>18、内胆为电锌板喷粉，防腐蚀，导热快；</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autoSpaceDE w:val="0"/>
              <w:autoSpaceDN w:val="0"/>
              <w:spacing w:line="360" w:lineRule="auto"/>
              <w:jc w:val="left"/>
              <w:rPr>
                <w:rFonts w:hint="eastAsia" w:ascii="宋体" w:hAnsi="宋体" w:eastAsia="宋体"/>
                <w:szCs w:val="21"/>
                <w:lang w:eastAsia="zh-CN"/>
              </w:rPr>
            </w:pPr>
            <w:r>
              <w:rPr>
                <w:rFonts w:ascii="宋体" w:hAnsi="宋体" w:eastAsia="宋体" w:cs="宋体"/>
                <w:color w:val="000000" w:themeColor="text1"/>
                <w:sz w:val="21"/>
                <w:szCs w:val="21"/>
                <w14:textFill>
                  <w14:solidFill>
                    <w14:schemeClr w14:val="tx1"/>
                  </w14:solidFill>
                </w14:textFill>
              </w:rPr>
              <w:t>20、 低噪音，整机运行噪音低于52分贝；</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autoSpaceDE w:val="0"/>
              <w:autoSpaceDN w:val="0"/>
              <w:spacing w:line="360" w:lineRule="auto"/>
              <w:jc w:val="left"/>
              <w:rPr>
                <w:rFonts w:hint="eastAsia" w:ascii="宋体" w:hAnsi="宋体" w:eastAsia="宋体"/>
                <w:szCs w:val="21"/>
                <w:lang w:eastAsia="zh-CN"/>
              </w:rPr>
            </w:pPr>
            <w:r>
              <w:rPr>
                <w:rFonts w:ascii="宋体" w:hAnsi="宋体" w:eastAsia="宋体" w:cs="宋体"/>
                <w:color w:val="000000" w:themeColor="text1"/>
                <w:sz w:val="21"/>
                <w:szCs w:val="21"/>
                <w14:textFill>
                  <w14:solidFill>
                    <w14:schemeClr w14:val="tx1"/>
                  </w14:solidFill>
                </w14:textFill>
              </w:rPr>
              <w:t>21、 具有可加热平衡孔模块，可满足短时间内连续开门。</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autoSpaceDE w:val="0"/>
              <w:autoSpaceDN w:val="0"/>
              <w:spacing w:line="360" w:lineRule="auto"/>
              <w:jc w:val="left"/>
              <w:rPr>
                <w:rFonts w:hint="eastAsia" w:ascii="宋体" w:hAnsi="宋体" w:eastAsia="宋体"/>
                <w:szCs w:val="21"/>
                <w:lang w:eastAsia="zh-CN"/>
              </w:rPr>
            </w:pPr>
            <w:r>
              <w:rPr>
                <w:rFonts w:ascii="宋体" w:hAnsi="宋体" w:eastAsia="宋体" w:cs="宋体"/>
                <w:color w:val="000000" w:themeColor="text1"/>
                <w:sz w:val="21"/>
                <w:szCs w:val="21"/>
                <w14:textFill>
                  <w14:solidFill>
                    <w14:schemeClr w14:val="tx1"/>
                  </w14:solidFill>
                </w14:textFill>
              </w:rPr>
              <w:t>22、具两个测试孔，方便实验使用和监控箱内温度。</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autoSpaceDE w:val="0"/>
              <w:autoSpaceDN w:val="0"/>
              <w:spacing w:line="360" w:lineRule="auto"/>
              <w:jc w:val="left"/>
              <w:rPr>
                <w:rFonts w:hint="eastAsia" w:ascii="宋体" w:hAnsi="宋体" w:eastAsia="宋体"/>
                <w:szCs w:val="21"/>
                <w:lang w:eastAsia="zh-CN"/>
              </w:rPr>
            </w:pPr>
            <w:r>
              <w:rPr>
                <w:rFonts w:ascii="宋体" w:hAnsi="宋体" w:eastAsia="宋体" w:cs="宋体"/>
                <w:color w:val="000000" w:themeColor="text1"/>
                <w:sz w:val="21"/>
                <w:szCs w:val="21"/>
                <w14:textFill>
                  <w14:solidFill>
                    <w14:schemeClr w14:val="tx1"/>
                  </w14:solidFill>
                </w14:textFill>
              </w:rPr>
              <w:t>▲23、具有内置5V冷链供电系统，确保用电安全，减少外部布线，降低故障风险。</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autoSpaceDE w:val="0"/>
              <w:autoSpaceDN w:val="0"/>
              <w:spacing w:line="360" w:lineRule="auto"/>
              <w:jc w:val="left"/>
              <w:rPr>
                <w:rFonts w:hint="eastAsia" w:ascii="宋体" w:hAnsi="宋体" w:eastAsia="宋体"/>
                <w:szCs w:val="21"/>
                <w:lang w:eastAsia="zh-CN"/>
              </w:rPr>
            </w:pPr>
            <w:r>
              <w:rPr>
                <w:rFonts w:ascii="宋体" w:hAnsi="宋体" w:eastAsia="宋体" w:cs="宋体"/>
                <w:color w:val="000000" w:themeColor="text1"/>
                <w:sz w:val="21"/>
                <w:szCs w:val="21"/>
                <w14:textFill>
                  <w14:solidFill>
                    <w14:schemeClr w14:val="tx1"/>
                  </w14:solidFill>
                </w14:textFill>
              </w:rPr>
              <w:t>24、配备RS485数据接口，可同计算机网线连接，实现数据通讯；</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autoSpaceDE w:val="0"/>
              <w:autoSpaceDN w:val="0"/>
              <w:spacing w:line="360" w:lineRule="auto"/>
              <w:jc w:val="left"/>
              <w:rPr>
                <w:rFonts w:hint="eastAsia" w:ascii="宋体" w:hAnsi="宋体" w:eastAsia="宋体"/>
                <w:szCs w:val="21"/>
                <w:lang w:eastAsia="zh-CN"/>
              </w:rPr>
            </w:pPr>
            <w:r>
              <w:rPr>
                <w:rFonts w:ascii="宋体" w:hAnsi="宋体" w:eastAsia="宋体" w:cs="宋体"/>
                <w:color w:val="000000" w:themeColor="text1"/>
                <w:sz w:val="21"/>
                <w:szCs w:val="21"/>
                <w14:textFill>
                  <w14:solidFill>
                    <w14:schemeClr w14:val="tx1"/>
                  </w14:solidFill>
                </w14:textFill>
              </w:rPr>
              <w:t>25、配备USB接口，可导出箱内温度、输入电压、环温等数据，数据等数据，可选这PDF格式导出，可记录10年以上数据；</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autoSpaceDE w:val="0"/>
              <w:autoSpaceDN w:val="0"/>
              <w:spacing w:line="360" w:lineRule="auto"/>
              <w:jc w:val="left"/>
              <w:rPr>
                <w:rFonts w:hint="eastAsia" w:ascii="宋体" w:hAnsi="宋体" w:eastAsia="宋体"/>
                <w:szCs w:val="21"/>
                <w:lang w:eastAsia="zh-CN"/>
              </w:rPr>
            </w:pPr>
            <w:r>
              <w:rPr>
                <w:rFonts w:ascii="宋体" w:hAnsi="宋体" w:eastAsia="宋体" w:cs="宋体"/>
                <w:color w:val="000000" w:themeColor="text1"/>
                <w:sz w:val="21"/>
                <w:szCs w:val="21"/>
                <w14:textFill>
                  <w14:solidFill>
                    <w14:schemeClr w14:val="tx1"/>
                  </w14:solidFill>
                </w14:textFill>
              </w:rPr>
              <w:t>26、具有事件记录功能，产品能够记录开门事件、密码修改、设置修改、账户登录等信息，且所有记录信息能够下载到电脑上，实现数据分析存档；</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autoSpaceDE w:val="0"/>
              <w:autoSpaceDN w:val="0"/>
              <w:spacing w:line="360" w:lineRule="auto"/>
              <w:jc w:val="left"/>
              <w:rPr>
                <w:rFonts w:hint="eastAsia" w:ascii="宋体" w:hAnsi="宋体" w:eastAsia="宋体"/>
                <w:szCs w:val="21"/>
                <w:lang w:eastAsia="zh-CN"/>
              </w:rPr>
            </w:pPr>
            <w:r>
              <w:rPr>
                <w:rFonts w:ascii="宋体" w:hAnsi="宋体" w:eastAsia="宋体" w:cs="宋体"/>
                <w:color w:val="000000" w:themeColor="text1"/>
                <w:sz w:val="21"/>
                <w:szCs w:val="21"/>
                <w14:textFill>
                  <w14:solidFill>
                    <w14:schemeClr w14:val="tx1"/>
                  </w14:solidFill>
                </w14:textFill>
              </w:rPr>
              <w:t>28、具有运行指示灯，正常运行显示绿色，出现报警或故障显示红色或黄色；</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autoSpaceDE w:val="0"/>
              <w:autoSpaceDN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cs="宋体"/>
                <w:color w:val="000000" w:themeColor="text1"/>
                <w:sz w:val="21"/>
                <w:szCs w:val="21"/>
                <w:lang w:val="en-US" w:eastAsia="zh-CN"/>
                <w14:textFill>
                  <w14:solidFill>
                    <w14:schemeClr w14:val="tx1"/>
                  </w14:solidFill>
                </w14:textFill>
              </w:rPr>
              <w:t>29</w:t>
            </w:r>
            <w:r>
              <w:rPr>
                <w:rFonts w:ascii="宋体" w:hAnsi="宋体" w:eastAsia="宋体" w:cs="宋体"/>
                <w:color w:val="000000" w:themeColor="text1"/>
                <w:sz w:val="21"/>
                <w:szCs w:val="21"/>
                <w14:textFill>
                  <w14:solidFill>
                    <w14:schemeClr w14:val="tx1"/>
                  </w14:solidFill>
                </w14:textFill>
              </w:rPr>
              <w:t>、具有留言/记事本功能，方便多用户共用一台冰箱时，相互之间留言，以及自己创建记事本，备忘，可实现无纸办公；</w:t>
            </w:r>
          </w:p>
        </w:tc>
        <w:tc>
          <w:tcPr>
            <w:tcW w:w="1189" w:type="dxa"/>
            <w:vAlign w:val="top"/>
          </w:tcPr>
          <w:p>
            <w:pPr>
              <w:rPr>
                <w:rFonts w:hint="eastAsia" w:ascii="宋体" w:hAns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top"/>
          </w:tcPr>
          <w:p>
            <w:pPr>
              <w:rPr>
                <w:rFonts w:hint="eastAsia" w:ascii="宋体" w:hAnsi="宋体" w:eastAsia="宋体"/>
                <w:szCs w:val="21"/>
                <w:lang w:eastAsia="zh-CN"/>
              </w:rPr>
            </w:pPr>
          </w:p>
        </w:tc>
        <w:tc>
          <w:tcPr>
            <w:tcW w:w="1276" w:type="dxa"/>
            <w:vMerge w:val="continue"/>
            <w:vAlign w:val="top"/>
          </w:tcPr>
          <w:p>
            <w:pPr>
              <w:rPr>
                <w:rFonts w:hint="eastAsia" w:ascii="宋体" w:hAnsi="宋体" w:eastAsia="宋体"/>
                <w:szCs w:val="21"/>
                <w:lang w:eastAsia="zh-CN"/>
              </w:rPr>
            </w:pPr>
          </w:p>
        </w:tc>
        <w:tc>
          <w:tcPr>
            <w:tcW w:w="5792" w:type="dxa"/>
            <w:vAlign w:val="top"/>
          </w:tcPr>
          <w:p>
            <w:pPr>
              <w:rPr>
                <w:rFonts w:hint="eastAsia" w:ascii="宋体" w:hAnsi="宋体" w:eastAsia="宋体" w:cs="Times New Roman"/>
                <w:kern w:val="2"/>
                <w:sz w:val="21"/>
                <w:szCs w:val="21"/>
                <w:lang w:val="en-US" w:eastAsia="zh-CN" w:bidi="ar-SA"/>
              </w:rPr>
            </w:pPr>
            <w:r>
              <w:rPr>
                <w:rFonts w:hint="eastAsia" w:ascii="宋体" w:hAnsi="宋体" w:cs="宋体"/>
                <w:color w:val="000000" w:themeColor="text1"/>
                <w:sz w:val="21"/>
                <w:szCs w:val="21"/>
                <w:lang w:val="en-US" w:eastAsia="zh-CN"/>
                <w14:textFill>
                  <w14:solidFill>
                    <w14:schemeClr w14:val="tx1"/>
                  </w14:solidFill>
                </w14:textFill>
              </w:rPr>
              <w:t>30</w:t>
            </w:r>
            <w:r>
              <w:rPr>
                <w:rFonts w:ascii="宋体" w:hAnsi="宋体" w:eastAsia="宋体" w:cs="宋体"/>
                <w:color w:val="000000" w:themeColor="text1"/>
                <w:sz w:val="21"/>
                <w:szCs w:val="21"/>
                <w14:textFill>
                  <w14:solidFill>
                    <w14:schemeClr w14:val="tx1"/>
                  </w14:solidFill>
                </w14:textFill>
              </w:rPr>
              <w:t>、标配单机版的样本管理系统，方便进行样本的简单管理和盘点；</w:t>
            </w:r>
          </w:p>
        </w:tc>
        <w:tc>
          <w:tcPr>
            <w:tcW w:w="1189" w:type="dxa"/>
            <w:vAlign w:val="top"/>
          </w:tcPr>
          <w:p>
            <w:pPr>
              <w:rPr>
                <w:rFonts w:hint="eastAsia" w:ascii="宋体" w:hAnsi="宋体" w:eastAsia="宋体"/>
                <w:szCs w:val="21"/>
                <w:lang w:eastAsia="zh-CN"/>
              </w:rPr>
            </w:pPr>
          </w:p>
        </w:tc>
      </w:tr>
    </w:tbl>
    <w:p>
      <w:pPr>
        <w:jc w:val="center"/>
        <w:rPr>
          <w:rFonts w:hint="eastAsia" w:ascii="宋体" w:hAnsi="宋体" w:eastAsia="宋体"/>
          <w:szCs w:val="21"/>
          <w:lang w:eastAsia="zh-CN"/>
        </w:rPr>
      </w:pPr>
    </w:p>
    <w:p>
      <w:pPr>
        <w:widowControl/>
        <w:jc w:val="left"/>
        <w:rPr>
          <w:rFonts w:ascii="宋体" w:hAnsi="宋体"/>
          <w:kern w:val="0"/>
          <w:szCs w:val="21"/>
        </w:rPr>
      </w:pPr>
    </w:p>
    <w:p>
      <w:pPr>
        <w:pStyle w:val="6"/>
        <w:spacing w:beforeLines="50" w:afterLines="50"/>
        <w:jc w:val="both"/>
        <w:rPr>
          <w:rFonts w:hint="default" w:eastAsia="宋体"/>
          <w:szCs w:val="24"/>
          <w:lang w:val="en-US" w:eastAsia="zh-CN"/>
        </w:rPr>
      </w:pPr>
      <w:r>
        <w:rPr>
          <w:rFonts w:hint="eastAsia"/>
          <w:szCs w:val="24"/>
        </w:rPr>
        <w:t>四、配置</w:t>
      </w:r>
      <w:r>
        <w:rPr>
          <w:rFonts w:hint="eastAsia"/>
          <w:szCs w:val="24"/>
          <w:lang w:val="en-US" w:eastAsia="zh-CN"/>
        </w:rPr>
        <w:t>要求</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4961"/>
        <w:gridCol w:w="709"/>
        <w:gridCol w:w="70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85"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496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配置名称</w:t>
            </w:r>
          </w:p>
        </w:tc>
        <w:tc>
          <w:tcPr>
            <w:tcW w:w="70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70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c>
          <w:tcPr>
            <w:tcW w:w="101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1</w:t>
            </w:r>
          </w:p>
        </w:tc>
        <w:tc>
          <w:tcPr>
            <w:tcW w:w="4961" w:type="dxa"/>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超低温保存箱</w:t>
            </w:r>
          </w:p>
        </w:tc>
        <w:tc>
          <w:tcPr>
            <w:tcW w:w="709" w:type="dxa"/>
            <w:vAlign w:val="bottom"/>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1</w:t>
            </w:r>
          </w:p>
        </w:tc>
        <w:tc>
          <w:tcPr>
            <w:tcW w:w="709" w:type="dxa"/>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台</w:t>
            </w:r>
          </w:p>
        </w:tc>
        <w:tc>
          <w:tcPr>
            <w:tcW w:w="1011" w:type="dxa"/>
          </w:tcPr>
          <w:p>
            <w:pPr>
              <w:jc w:val="center"/>
              <w:rPr>
                <w:rFonts w:hint="eastAsia" w:ascii="宋体" w:hAnsi="宋体" w:eastAsia="宋体"/>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2</w:t>
            </w:r>
          </w:p>
        </w:tc>
        <w:tc>
          <w:tcPr>
            <w:tcW w:w="4961" w:type="dxa"/>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除冰铲</w:t>
            </w:r>
          </w:p>
        </w:tc>
        <w:tc>
          <w:tcPr>
            <w:tcW w:w="709" w:type="dxa"/>
            <w:vAlign w:val="bottom"/>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1</w:t>
            </w:r>
          </w:p>
        </w:tc>
        <w:tc>
          <w:tcPr>
            <w:tcW w:w="709" w:type="dxa"/>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套</w:t>
            </w:r>
          </w:p>
        </w:tc>
        <w:tc>
          <w:tcPr>
            <w:tcW w:w="1011" w:type="dxa"/>
          </w:tcPr>
          <w:p>
            <w:pPr>
              <w:jc w:val="center"/>
              <w:rPr>
                <w:rFonts w:hint="eastAsia" w:ascii="宋体" w:hAnsi="宋体" w:eastAsia="宋体"/>
                <w:color w:val="000000" w:themeColor="text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5" w:type="dxa"/>
            <w:vAlign w:val="center"/>
          </w:tcPr>
          <w:p>
            <w:pPr>
              <w:jc w:val="cente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3</w:t>
            </w:r>
          </w:p>
        </w:tc>
        <w:tc>
          <w:tcPr>
            <w:tcW w:w="4961" w:type="dxa"/>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使用说明书</w:t>
            </w:r>
          </w:p>
        </w:tc>
        <w:tc>
          <w:tcPr>
            <w:tcW w:w="709" w:type="dxa"/>
            <w:vAlign w:val="bottom"/>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2</w:t>
            </w:r>
          </w:p>
        </w:tc>
        <w:tc>
          <w:tcPr>
            <w:tcW w:w="709" w:type="dxa"/>
            <w:vAlign w:val="bottom"/>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套</w:t>
            </w:r>
          </w:p>
        </w:tc>
        <w:tc>
          <w:tcPr>
            <w:tcW w:w="1011" w:type="dxa"/>
          </w:tcPr>
          <w:p>
            <w:pPr>
              <w:jc w:val="center"/>
              <w:rPr>
                <w:rFonts w:hint="eastAsia" w:ascii="宋体" w:hAnsi="宋体" w:eastAsia="宋体"/>
                <w:color w:val="000000" w:themeColor="text1"/>
                <w:szCs w:val="21"/>
                <w:lang w:val="en-US" w:eastAsia="zh-CN"/>
                <w14:textFill>
                  <w14:solidFill>
                    <w14:schemeClr w14:val="tx1"/>
                  </w14:solidFill>
                </w14:textFill>
              </w:rPr>
            </w:pPr>
          </w:p>
        </w:tc>
      </w:tr>
    </w:tbl>
    <w:p>
      <w:pPr>
        <w:jc w:val="center"/>
      </w:pPr>
    </w:p>
    <w:p>
      <w:pPr>
        <w:pStyle w:val="21"/>
        <w:keepNext w:val="0"/>
        <w:keepLines w:val="0"/>
        <w:pageBreakBefore w:val="0"/>
        <w:widowControl w:val="0"/>
        <w:numPr>
          <w:ilvl w:val="0"/>
          <w:numId w:val="0"/>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五、相关耗材要求：</w:t>
      </w:r>
    </w:p>
    <w:p>
      <w:pPr>
        <w:rPr>
          <w:rFonts w:hint="eastAsia" w:ascii="宋体" w:hAnsi="宋体" w:cs="宋体"/>
          <w:sz w:val="21"/>
          <w:szCs w:val="21"/>
          <w:lang w:eastAsia="zh-CN"/>
        </w:rPr>
      </w:pPr>
    </w:p>
    <w:p>
      <w:pPr>
        <w:keepNext w:val="0"/>
        <w:keepLines w:val="0"/>
        <w:pageBreakBefore w:val="0"/>
        <w:widowControl w:val="0"/>
        <w:numPr>
          <w:ilvl w:val="0"/>
          <w:numId w:val="4"/>
        </w:numPr>
        <w:kinsoku/>
        <w:wordWrap/>
        <w:overflowPunct/>
        <w:topLinePunct w:val="0"/>
        <w:autoSpaceDE/>
        <w:autoSpaceDN/>
        <w:bidi w:val="0"/>
        <w:spacing w:line="460" w:lineRule="atLeast"/>
        <w:ind w:firstLine="420" w:firstLineChars="200"/>
        <w:textAlignment w:val="auto"/>
        <w:rPr>
          <w:rFonts w:hint="eastAsia" w:ascii="宋体" w:hAnsi="宋体" w:cs="宋体"/>
          <w:kern w:val="0"/>
          <w:szCs w:val="21"/>
        </w:rPr>
      </w:pPr>
      <w:r>
        <w:rPr>
          <w:rFonts w:hint="eastAsia"/>
          <w:lang w:val="en-US" w:eastAsia="zh-CN"/>
        </w:rPr>
        <w:t>如所采购设备涉及到耗材、试剂，要求供应商填报相关价格（格式详见招标文件“耗材、试剂报价表”）作为投标文件一部份，</w:t>
      </w:r>
      <w:r>
        <w:rPr>
          <w:rFonts w:hint="eastAsia" w:ascii="宋体" w:hAnsi="宋体" w:cs="宋体"/>
          <w:kern w:val="0"/>
          <w:szCs w:val="21"/>
        </w:rPr>
        <w:t>如</w:t>
      </w:r>
      <w:r>
        <w:rPr>
          <w:rFonts w:hint="eastAsia" w:ascii="宋体" w:hAnsi="宋体" w:cs="宋体"/>
          <w:kern w:val="0"/>
          <w:szCs w:val="21"/>
          <w:lang w:val="en-US" w:eastAsia="zh-CN"/>
        </w:rPr>
        <w:t>未填写</w:t>
      </w:r>
      <w:r>
        <w:rPr>
          <w:rFonts w:hint="eastAsia" w:ascii="宋体" w:hAnsi="宋体" w:cs="宋体"/>
          <w:kern w:val="0"/>
          <w:szCs w:val="21"/>
        </w:rPr>
        <w:t>，将被视为未实质性满足招标文件要求作投标无效处理。</w:t>
      </w:r>
    </w:p>
    <w:p>
      <w:pPr>
        <w:keepNext w:val="0"/>
        <w:keepLines w:val="0"/>
        <w:pageBreakBefore w:val="0"/>
        <w:widowControl w:val="0"/>
        <w:numPr>
          <w:ilvl w:val="0"/>
          <w:numId w:val="4"/>
        </w:numPr>
        <w:kinsoku/>
        <w:wordWrap/>
        <w:overflowPunct/>
        <w:topLinePunct w:val="0"/>
        <w:autoSpaceDE/>
        <w:autoSpaceDN/>
        <w:bidi w:val="0"/>
        <w:spacing w:line="460" w:lineRule="atLeast"/>
        <w:ind w:firstLine="420" w:firstLineChars="200"/>
        <w:textAlignment w:val="auto"/>
        <w:rPr>
          <w:rFonts w:hint="eastAsia"/>
          <w:lang w:val="en-US" w:eastAsia="zh-CN"/>
        </w:rPr>
      </w:pPr>
      <w:r>
        <w:rPr>
          <w:rFonts w:hint="eastAsia"/>
          <w:lang w:val="en-US" w:eastAsia="zh-CN"/>
        </w:rPr>
        <w:t>需要同时提供该耗材、试剂的历史成交记录（如合同关键页、发票等能有效证明成交记录的材料）。</w:t>
      </w:r>
    </w:p>
    <w:p>
      <w:pPr>
        <w:pStyle w:val="2"/>
        <w:rPr>
          <w:rFonts w:hint="eastAsia"/>
          <w:lang w:val="en-US" w:eastAsia="zh-CN"/>
        </w:rPr>
      </w:pPr>
    </w:p>
    <w:p>
      <w:pPr>
        <w:pStyle w:val="2"/>
        <w:rPr>
          <w:rFonts w:hint="eastAsia"/>
          <w:lang w:eastAsia="zh-CN"/>
        </w:rPr>
      </w:pPr>
    </w:p>
    <w:p>
      <w:pPr>
        <w:rPr>
          <w:rFonts w:hint="eastAsia"/>
          <w:lang w:val="en-US" w:eastAsia="zh-CN"/>
        </w:rPr>
      </w:pPr>
    </w:p>
    <w:tbl>
      <w:tblPr>
        <w:tblStyle w:val="54"/>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159"/>
        <w:gridCol w:w="1100"/>
        <w:gridCol w:w="69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511" w:type="dxa"/>
            <w:gridSpan w:val="11"/>
            <w:vAlign w:val="center"/>
          </w:tcPr>
          <w:p>
            <w:pPr>
              <w:jc w:val="center"/>
              <w:rPr>
                <w:rFonts w:hint="eastAsia" w:ascii="宋体" w:hAnsi="宋体" w:cs="宋体"/>
                <w:b/>
                <w:szCs w:val="21"/>
              </w:rPr>
            </w:pPr>
            <w:r>
              <w:rPr>
                <w:rFonts w:hint="eastAsia"/>
                <w:b/>
                <w:bCs/>
                <w:sz w:val="30"/>
                <w:szCs w:val="30"/>
                <w:lang w:val="en-US" w:eastAsia="zh-CN"/>
              </w:rPr>
              <w:t>耗材、试剂报价表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rFonts w:ascii="宋体" w:hAnsi="宋体" w:cs="宋体"/>
                <w:szCs w:val="21"/>
              </w:rPr>
            </w:pPr>
            <w:r>
              <w:rPr>
                <w:rFonts w:hint="eastAsia" w:ascii="宋体" w:hAnsi="宋体" w:cs="宋体"/>
                <w:b/>
                <w:szCs w:val="21"/>
              </w:rPr>
              <w:t>序号</w:t>
            </w:r>
          </w:p>
        </w:tc>
        <w:tc>
          <w:tcPr>
            <w:tcW w:w="709" w:type="dxa"/>
            <w:vAlign w:val="center"/>
          </w:tcPr>
          <w:p>
            <w:pPr>
              <w:jc w:val="center"/>
              <w:rPr>
                <w:rFonts w:ascii="宋体" w:hAnsi="宋体" w:cs="宋体"/>
                <w:b/>
                <w:szCs w:val="21"/>
              </w:rPr>
            </w:pPr>
            <w:r>
              <w:rPr>
                <w:rFonts w:hint="eastAsia" w:ascii="宋体" w:hAnsi="宋体" w:cs="宋体"/>
                <w:b/>
                <w:szCs w:val="21"/>
              </w:rPr>
              <w:t>货物名称</w:t>
            </w:r>
          </w:p>
        </w:tc>
        <w:tc>
          <w:tcPr>
            <w:tcW w:w="851" w:type="dxa"/>
            <w:vAlign w:val="center"/>
          </w:tcPr>
          <w:p>
            <w:pPr>
              <w:jc w:val="center"/>
              <w:rPr>
                <w:rFonts w:ascii="宋体" w:hAnsi="宋体" w:cs="宋体"/>
                <w:b/>
                <w:szCs w:val="21"/>
              </w:rPr>
            </w:pPr>
            <w:r>
              <w:rPr>
                <w:rFonts w:hint="eastAsia" w:ascii="宋体" w:hAnsi="宋体" w:cs="宋体"/>
                <w:b/>
                <w:szCs w:val="21"/>
              </w:rPr>
              <w:t>市平台编码</w:t>
            </w:r>
          </w:p>
        </w:tc>
        <w:tc>
          <w:tcPr>
            <w:tcW w:w="850" w:type="dxa"/>
            <w:vAlign w:val="center"/>
          </w:tcPr>
          <w:p>
            <w:pPr>
              <w:jc w:val="center"/>
              <w:rPr>
                <w:rFonts w:ascii="宋体" w:hAnsi="宋体" w:cs="宋体"/>
                <w:b/>
                <w:szCs w:val="21"/>
              </w:rPr>
            </w:pPr>
            <w:r>
              <w:rPr>
                <w:rFonts w:hint="eastAsia" w:ascii="宋体" w:hAnsi="宋体" w:cs="宋体"/>
                <w:b/>
                <w:szCs w:val="21"/>
              </w:rPr>
              <w:t>产品注册名称</w:t>
            </w:r>
          </w:p>
        </w:tc>
        <w:tc>
          <w:tcPr>
            <w:tcW w:w="851" w:type="dxa"/>
            <w:vAlign w:val="center"/>
          </w:tcPr>
          <w:p>
            <w:pPr>
              <w:jc w:val="center"/>
              <w:rPr>
                <w:rFonts w:ascii="宋体" w:hAnsi="宋体" w:cs="宋体"/>
                <w:b/>
                <w:szCs w:val="21"/>
              </w:rPr>
            </w:pPr>
            <w:r>
              <w:rPr>
                <w:rFonts w:hint="eastAsia" w:ascii="宋体" w:hAnsi="宋体" w:cs="宋体"/>
                <w:b/>
                <w:szCs w:val="21"/>
              </w:rPr>
              <w:t>产品注册证号</w:t>
            </w:r>
          </w:p>
        </w:tc>
        <w:tc>
          <w:tcPr>
            <w:tcW w:w="992" w:type="dxa"/>
            <w:vAlign w:val="center"/>
          </w:tcPr>
          <w:p>
            <w:pPr>
              <w:jc w:val="center"/>
              <w:rPr>
                <w:rFonts w:ascii="宋体" w:hAnsi="宋体" w:cs="宋体"/>
                <w:b/>
                <w:szCs w:val="21"/>
              </w:rPr>
            </w:pPr>
            <w:r>
              <w:rPr>
                <w:rFonts w:hint="eastAsia" w:ascii="宋体" w:hAnsi="宋体" w:cs="宋体"/>
                <w:b/>
                <w:szCs w:val="21"/>
              </w:rPr>
              <w:t>规格</w:t>
            </w:r>
          </w:p>
          <w:p>
            <w:pPr>
              <w:jc w:val="center"/>
              <w:rPr>
                <w:rFonts w:ascii="宋体" w:hAnsi="宋体" w:cs="宋体"/>
                <w:b/>
                <w:szCs w:val="21"/>
              </w:rPr>
            </w:pPr>
            <w:r>
              <w:rPr>
                <w:rFonts w:hint="eastAsia" w:ascii="宋体" w:hAnsi="宋体" w:cs="宋体"/>
                <w:b/>
                <w:szCs w:val="21"/>
              </w:rPr>
              <w:t>型号</w:t>
            </w:r>
          </w:p>
        </w:tc>
        <w:tc>
          <w:tcPr>
            <w:tcW w:w="992" w:type="dxa"/>
            <w:vAlign w:val="center"/>
          </w:tcPr>
          <w:p>
            <w:pPr>
              <w:jc w:val="center"/>
              <w:rPr>
                <w:rFonts w:ascii="宋体" w:hAnsi="宋体" w:cs="宋体"/>
                <w:b/>
                <w:szCs w:val="21"/>
              </w:rPr>
            </w:pPr>
            <w:r>
              <w:rPr>
                <w:rFonts w:hint="eastAsia" w:ascii="宋体" w:hAnsi="宋体" w:cs="宋体"/>
                <w:b/>
                <w:bCs/>
                <w:szCs w:val="21"/>
              </w:rPr>
              <w:t>原产地/品牌</w:t>
            </w:r>
          </w:p>
        </w:tc>
        <w:tc>
          <w:tcPr>
            <w:tcW w:w="1159" w:type="dxa"/>
            <w:vAlign w:val="center"/>
          </w:tcPr>
          <w:p>
            <w:pPr>
              <w:jc w:val="center"/>
              <w:rPr>
                <w:rFonts w:ascii="宋体" w:hAnsi="宋体" w:cs="宋体"/>
                <w:b/>
                <w:szCs w:val="21"/>
              </w:rPr>
            </w:pPr>
            <w:r>
              <w:rPr>
                <w:rFonts w:hint="eastAsia" w:ascii="宋体" w:hAnsi="宋体" w:cs="宋体"/>
                <w:b/>
                <w:szCs w:val="21"/>
              </w:rPr>
              <w:t>生产企业</w:t>
            </w:r>
          </w:p>
        </w:tc>
        <w:tc>
          <w:tcPr>
            <w:tcW w:w="1100" w:type="dxa"/>
            <w:vAlign w:val="center"/>
          </w:tcPr>
          <w:p>
            <w:pPr>
              <w:jc w:val="center"/>
              <w:rPr>
                <w:rFonts w:ascii="宋体" w:hAnsi="宋体" w:cs="宋体"/>
                <w:b/>
                <w:szCs w:val="21"/>
              </w:rPr>
            </w:pPr>
            <w:r>
              <w:rPr>
                <w:rFonts w:hint="eastAsia" w:ascii="宋体" w:hAnsi="宋体" w:cs="宋体"/>
                <w:b/>
                <w:szCs w:val="21"/>
              </w:rPr>
              <w:t>包装规格</w:t>
            </w:r>
          </w:p>
        </w:tc>
        <w:tc>
          <w:tcPr>
            <w:tcW w:w="696" w:type="dxa"/>
            <w:vAlign w:val="center"/>
          </w:tcPr>
          <w:p>
            <w:pPr>
              <w:jc w:val="center"/>
              <w:rPr>
                <w:rFonts w:ascii="宋体" w:hAnsi="宋体" w:cs="宋体"/>
                <w:b/>
                <w:szCs w:val="21"/>
              </w:rPr>
            </w:pPr>
            <w:r>
              <w:rPr>
                <w:rFonts w:hint="eastAsia" w:ascii="宋体" w:hAnsi="宋体" w:cs="宋体"/>
                <w:b/>
                <w:szCs w:val="21"/>
              </w:rPr>
              <w:t>单位</w:t>
            </w:r>
          </w:p>
        </w:tc>
        <w:tc>
          <w:tcPr>
            <w:tcW w:w="709" w:type="dxa"/>
            <w:vAlign w:val="center"/>
          </w:tcPr>
          <w:p>
            <w:pPr>
              <w:jc w:val="center"/>
              <w:rPr>
                <w:rFonts w:ascii="宋体" w:hAnsi="宋体" w:cs="宋体"/>
                <w:b/>
                <w:szCs w:val="21"/>
              </w:rPr>
            </w:pPr>
            <w:r>
              <w:rPr>
                <w:rFonts w:hint="eastAsia" w:ascii="宋体" w:hAnsi="宋体" w:cs="宋体"/>
                <w:b/>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hint="eastAsia" w:ascii="宋体" w:hAnsi="宋体" w:eastAsia="宋体" w:cs="宋体"/>
                <w:sz w:val="24"/>
                <w:lang w:val="en-US" w:eastAsia="zh-CN"/>
              </w:rPr>
            </w:pPr>
          </w:p>
        </w:tc>
        <w:tc>
          <w:tcPr>
            <w:tcW w:w="709" w:type="dxa"/>
          </w:tcPr>
          <w:p>
            <w:pPr>
              <w:spacing w:line="360" w:lineRule="auto"/>
              <w:rPr>
                <w:rFonts w:hint="default" w:ascii="宋体" w:hAnsi="宋体" w:eastAsia="宋体" w:cs="宋体"/>
                <w:sz w:val="24"/>
                <w:lang w:val="en-US" w:eastAsia="zh-CN"/>
              </w:rPr>
            </w:pP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hint="default" w:ascii="宋体" w:hAnsi="宋体" w:eastAsia="宋体" w:cs="宋体"/>
                <w:sz w:val="24"/>
                <w:lang w:val="en-US" w:eastAsia="zh-CN"/>
              </w:rPr>
            </w:pPr>
          </w:p>
        </w:tc>
        <w:tc>
          <w:tcPr>
            <w:tcW w:w="992" w:type="dxa"/>
          </w:tcPr>
          <w:p>
            <w:pPr>
              <w:spacing w:line="360" w:lineRule="auto"/>
              <w:rPr>
                <w:rFonts w:hint="default" w:ascii="宋体" w:hAnsi="宋体" w:eastAsia="宋体" w:cs="宋体"/>
                <w:sz w:val="24"/>
                <w:lang w:val="en-US" w:eastAsia="zh-CN"/>
              </w:rPr>
            </w:pPr>
          </w:p>
        </w:tc>
        <w:tc>
          <w:tcPr>
            <w:tcW w:w="992" w:type="dxa"/>
          </w:tcPr>
          <w:p>
            <w:pPr>
              <w:spacing w:line="360" w:lineRule="auto"/>
              <w:rPr>
                <w:rFonts w:hint="eastAsia" w:ascii="宋体" w:hAnsi="宋体" w:eastAsia="宋体" w:cs="宋体"/>
                <w:sz w:val="24"/>
                <w:lang w:val="en-US" w:eastAsia="zh-CN"/>
              </w:rPr>
            </w:pPr>
          </w:p>
        </w:tc>
        <w:tc>
          <w:tcPr>
            <w:tcW w:w="1159" w:type="dxa"/>
          </w:tcPr>
          <w:p>
            <w:pPr>
              <w:spacing w:line="360" w:lineRule="auto"/>
              <w:rPr>
                <w:rFonts w:hint="default" w:ascii="宋体" w:hAnsi="宋体" w:eastAsia="宋体" w:cs="宋体"/>
                <w:sz w:val="24"/>
                <w:lang w:val="en-US" w:eastAsia="zh-CN"/>
              </w:rPr>
            </w:pPr>
          </w:p>
        </w:tc>
        <w:tc>
          <w:tcPr>
            <w:tcW w:w="1100" w:type="dxa"/>
          </w:tcPr>
          <w:p>
            <w:pPr>
              <w:spacing w:line="360" w:lineRule="auto"/>
              <w:rPr>
                <w:rFonts w:hint="default" w:ascii="宋体" w:hAnsi="宋体" w:eastAsia="宋体" w:cs="宋体"/>
                <w:sz w:val="24"/>
                <w:lang w:val="en-US" w:eastAsia="zh-CN"/>
              </w:rPr>
            </w:pPr>
          </w:p>
        </w:tc>
        <w:tc>
          <w:tcPr>
            <w:tcW w:w="696" w:type="dxa"/>
          </w:tcPr>
          <w:p>
            <w:pPr>
              <w:spacing w:line="360" w:lineRule="auto"/>
              <w:rPr>
                <w:rFonts w:hint="eastAsia" w:ascii="宋体" w:hAnsi="宋体" w:eastAsia="宋体" w:cs="宋体"/>
                <w:sz w:val="24"/>
                <w:lang w:val="en-US" w:eastAsia="zh-CN"/>
              </w:rPr>
            </w:pPr>
          </w:p>
        </w:tc>
        <w:tc>
          <w:tcPr>
            <w:tcW w:w="709" w:type="dxa"/>
          </w:tcPr>
          <w:p>
            <w:pPr>
              <w:spacing w:line="360" w:lineRule="auto"/>
              <w:rPr>
                <w:rFonts w:hint="default"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159" w:type="dxa"/>
          </w:tcPr>
          <w:p>
            <w:pPr>
              <w:spacing w:line="360" w:lineRule="auto"/>
              <w:rPr>
                <w:rFonts w:ascii="宋体" w:hAnsi="宋体" w:cs="宋体"/>
                <w:sz w:val="24"/>
              </w:rPr>
            </w:pPr>
          </w:p>
        </w:tc>
        <w:tc>
          <w:tcPr>
            <w:tcW w:w="1100" w:type="dxa"/>
          </w:tcPr>
          <w:p>
            <w:pPr>
              <w:spacing w:line="360" w:lineRule="auto"/>
              <w:rPr>
                <w:rFonts w:ascii="宋体" w:hAnsi="宋体" w:cs="宋体"/>
                <w:sz w:val="24"/>
              </w:rPr>
            </w:pPr>
          </w:p>
        </w:tc>
        <w:tc>
          <w:tcPr>
            <w:tcW w:w="696"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159" w:type="dxa"/>
          </w:tcPr>
          <w:p>
            <w:pPr>
              <w:spacing w:line="360" w:lineRule="auto"/>
              <w:rPr>
                <w:rFonts w:ascii="宋体" w:hAnsi="宋体" w:cs="宋体"/>
                <w:sz w:val="24"/>
              </w:rPr>
            </w:pPr>
          </w:p>
        </w:tc>
        <w:tc>
          <w:tcPr>
            <w:tcW w:w="1100" w:type="dxa"/>
          </w:tcPr>
          <w:p>
            <w:pPr>
              <w:spacing w:line="360" w:lineRule="auto"/>
              <w:rPr>
                <w:rFonts w:ascii="宋体" w:hAnsi="宋体" w:cs="宋体"/>
                <w:sz w:val="24"/>
              </w:rPr>
            </w:pPr>
          </w:p>
        </w:tc>
        <w:tc>
          <w:tcPr>
            <w:tcW w:w="696"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850" w:type="dxa"/>
          </w:tcPr>
          <w:p>
            <w:pPr>
              <w:spacing w:line="360" w:lineRule="auto"/>
              <w:rPr>
                <w:rFonts w:ascii="宋体" w:hAnsi="宋体" w:cs="宋体"/>
                <w:sz w:val="24"/>
              </w:rPr>
            </w:pPr>
          </w:p>
        </w:tc>
        <w:tc>
          <w:tcPr>
            <w:tcW w:w="851"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992" w:type="dxa"/>
          </w:tcPr>
          <w:p>
            <w:pPr>
              <w:spacing w:line="360" w:lineRule="auto"/>
              <w:rPr>
                <w:rFonts w:ascii="宋体" w:hAnsi="宋体" w:cs="宋体"/>
                <w:sz w:val="24"/>
              </w:rPr>
            </w:pPr>
          </w:p>
        </w:tc>
        <w:tc>
          <w:tcPr>
            <w:tcW w:w="1159" w:type="dxa"/>
          </w:tcPr>
          <w:p>
            <w:pPr>
              <w:spacing w:line="360" w:lineRule="auto"/>
              <w:rPr>
                <w:rFonts w:ascii="宋体" w:hAnsi="宋体" w:cs="宋体"/>
                <w:sz w:val="24"/>
              </w:rPr>
            </w:pPr>
          </w:p>
        </w:tc>
        <w:tc>
          <w:tcPr>
            <w:tcW w:w="1100" w:type="dxa"/>
          </w:tcPr>
          <w:p>
            <w:pPr>
              <w:spacing w:line="360" w:lineRule="auto"/>
              <w:rPr>
                <w:rFonts w:ascii="宋体" w:hAnsi="宋体" w:cs="宋体"/>
                <w:sz w:val="24"/>
              </w:rPr>
            </w:pPr>
          </w:p>
        </w:tc>
        <w:tc>
          <w:tcPr>
            <w:tcW w:w="696" w:type="dxa"/>
          </w:tcPr>
          <w:p>
            <w:pPr>
              <w:spacing w:line="360" w:lineRule="auto"/>
              <w:rPr>
                <w:rFonts w:ascii="宋体" w:hAnsi="宋体" w:cs="宋体"/>
                <w:sz w:val="24"/>
              </w:rPr>
            </w:pPr>
          </w:p>
        </w:tc>
        <w:tc>
          <w:tcPr>
            <w:tcW w:w="709" w:type="dxa"/>
          </w:tcPr>
          <w:p>
            <w:pPr>
              <w:spacing w:line="360" w:lineRule="auto"/>
              <w:rPr>
                <w:rFonts w:ascii="宋体" w:hAnsi="宋体" w:cs="宋体"/>
                <w:sz w:val="24"/>
              </w:rPr>
            </w:pPr>
          </w:p>
        </w:tc>
      </w:tr>
    </w:tbl>
    <w:p>
      <w:pPr>
        <w:keepNext w:val="0"/>
        <w:keepLines w:val="0"/>
        <w:pageBreakBefore w:val="0"/>
        <w:widowControl w:val="0"/>
        <w:kinsoku/>
        <w:wordWrap/>
        <w:overflowPunct/>
        <w:topLinePunct w:val="0"/>
        <w:autoSpaceDE/>
        <w:autoSpaceDN/>
        <w:bidi w:val="0"/>
        <w:spacing w:line="460" w:lineRule="atLeast"/>
        <w:textAlignment w:val="auto"/>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
      <w:pPr>
        <w:pStyle w:val="21"/>
        <w:keepNext w:val="0"/>
        <w:keepLines w:val="0"/>
        <w:pageBreakBefore w:val="0"/>
        <w:widowControl w:val="0"/>
        <w:numPr>
          <w:ilvl w:val="0"/>
          <w:numId w:val="0"/>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六、商务要求：</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648"/>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0" w:type="pct"/>
            <w:vAlign w:val="center"/>
          </w:tcPr>
          <w:p>
            <w:pPr>
              <w:jc w:val="center"/>
              <w:rPr>
                <w:b/>
                <w:color w:val="auto"/>
                <w:highlight w:val="none"/>
              </w:rPr>
            </w:pPr>
            <w:r>
              <w:rPr>
                <w:rFonts w:hint="eastAsia"/>
                <w:b/>
                <w:color w:val="auto"/>
                <w:highlight w:val="none"/>
              </w:rPr>
              <w:t>序号</w:t>
            </w:r>
          </w:p>
        </w:tc>
        <w:tc>
          <w:tcPr>
            <w:tcW w:w="967" w:type="pct"/>
            <w:vAlign w:val="center"/>
          </w:tcPr>
          <w:p>
            <w:pPr>
              <w:jc w:val="center"/>
              <w:rPr>
                <w:b/>
                <w:color w:val="auto"/>
                <w:highlight w:val="none"/>
              </w:rPr>
            </w:pPr>
            <w:r>
              <w:rPr>
                <w:rFonts w:hint="eastAsia"/>
                <w:b/>
                <w:color w:val="auto"/>
                <w:highlight w:val="none"/>
              </w:rPr>
              <w:t>目录</w:t>
            </w:r>
          </w:p>
        </w:tc>
        <w:tc>
          <w:tcPr>
            <w:tcW w:w="3282" w:type="pct"/>
            <w:vAlign w:val="center"/>
          </w:tcPr>
          <w:p>
            <w:pPr>
              <w:jc w:val="center"/>
              <w:rPr>
                <w:b/>
                <w:color w:val="auto"/>
                <w:highlight w:val="none"/>
              </w:rPr>
            </w:pPr>
            <w:r>
              <w:rPr>
                <w:rFonts w:hint="eastAsia"/>
                <w:b/>
                <w:color w:val="auto"/>
                <w:highlight w:val="none"/>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50" w:type="pct"/>
            <w:vMerge w:val="restart"/>
            <w:vAlign w:val="center"/>
          </w:tcPr>
          <w:p>
            <w:pPr>
              <w:jc w:val="center"/>
              <w:rPr>
                <w:b/>
                <w:color w:val="auto"/>
                <w:highlight w:val="none"/>
              </w:rPr>
            </w:pPr>
            <w:r>
              <w:rPr>
                <w:rFonts w:hint="eastAsia"/>
                <w:b/>
                <w:color w:val="auto"/>
                <w:highlight w:val="none"/>
              </w:rPr>
              <w:t>（一）免费保修期内售后服务要求</w:t>
            </w:r>
          </w:p>
        </w:tc>
        <w:tc>
          <w:tcPr>
            <w:tcW w:w="967" w:type="pct"/>
            <w:vAlign w:val="center"/>
          </w:tcPr>
          <w:p>
            <w:pPr>
              <w:jc w:val="center"/>
              <w:rPr>
                <w:color w:val="auto"/>
                <w:highlight w:val="none"/>
              </w:rPr>
            </w:pPr>
            <w:r>
              <w:rPr>
                <w:rFonts w:hint="eastAsia"/>
                <w:color w:val="auto"/>
                <w:highlight w:val="none"/>
              </w:rPr>
              <w:t>免费保修期</w:t>
            </w:r>
          </w:p>
        </w:tc>
        <w:tc>
          <w:tcPr>
            <w:tcW w:w="3282" w:type="pct"/>
          </w:tcPr>
          <w:p>
            <w:pPr>
              <w:rPr>
                <w:b/>
                <w:color w:val="auto"/>
                <w:highlight w:val="none"/>
              </w:rPr>
            </w:pPr>
            <w:r>
              <w:rPr>
                <w:rFonts w:hint="eastAsia"/>
                <w:b/>
                <w:bCs/>
                <w:color w:val="auto"/>
                <w:szCs w:val="21"/>
                <w:highlight w:val="none"/>
              </w:rPr>
              <w:t>1</w:t>
            </w:r>
            <w:r>
              <w:rPr>
                <w:rFonts w:hint="eastAsia"/>
                <w:b/>
                <w:bCs/>
                <w:color w:val="auto"/>
                <w:szCs w:val="21"/>
                <w:highlight w:val="none"/>
                <w:lang w:eastAsia="zh-CN"/>
              </w:rPr>
              <w:t>、</w:t>
            </w:r>
            <w:r>
              <w:rPr>
                <w:rFonts w:hint="eastAsia" w:asciiTheme="minorEastAsia" w:hAnsiTheme="minorEastAsia" w:eastAsiaTheme="minorEastAsia"/>
                <w:b/>
                <w:bCs/>
                <w:szCs w:val="21"/>
              </w:rPr>
              <w:t>★</w:t>
            </w:r>
            <w:r>
              <w:rPr>
                <w:rFonts w:hint="eastAsia"/>
                <w:b/>
                <w:bCs/>
                <w:color w:val="auto"/>
                <w:szCs w:val="21"/>
                <w:highlight w:val="none"/>
              </w:rPr>
              <w:t>货物原厂免费保修期</w:t>
            </w:r>
            <w:r>
              <w:rPr>
                <w:rFonts w:hint="eastAsia"/>
                <w:b/>
                <w:bCs/>
                <w:color w:val="auto"/>
                <w:szCs w:val="21"/>
                <w:highlight w:val="none"/>
                <w:u w:val="single"/>
              </w:rPr>
              <w:t xml:space="preserve"> 3 </w:t>
            </w:r>
            <w:r>
              <w:rPr>
                <w:rFonts w:hint="eastAsia"/>
                <w:b/>
                <w:bCs/>
                <w:color w:val="auto"/>
                <w:szCs w:val="21"/>
                <w:highlight w:val="none"/>
              </w:rPr>
              <w:t>年（含附件），时间自最终验收合格并交付使用之日起计算，以用户设备验收单日期为准。终身免费维护。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响应时间</w:t>
            </w:r>
          </w:p>
        </w:tc>
        <w:tc>
          <w:tcPr>
            <w:tcW w:w="3282" w:type="pct"/>
          </w:tcPr>
          <w:p>
            <w:pPr>
              <w:rPr>
                <w:b/>
                <w:color w:val="auto"/>
                <w:highlight w:val="none"/>
              </w:rPr>
            </w:pPr>
            <w:r>
              <w:rPr>
                <w:rFonts w:hint="eastAsia"/>
                <w:bCs/>
                <w:color w:val="auto"/>
                <w:szCs w:val="21"/>
                <w:highlight w:val="none"/>
              </w:rPr>
              <w:t>2</w:t>
            </w:r>
            <w:r>
              <w:rPr>
                <w:rFonts w:hint="eastAsia"/>
                <w:bCs/>
                <w:color w:val="auto"/>
                <w:szCs w:val="21"/>
                <w:highlight w:val="none"/>
                <w:lang w:eastAsia="zh-CN"/>
              </w:rPr>
              <w:t>、</w:t>
            </w:r>
            <w:r>
              <w:rPr>
                <w:rFonts w:hint="eastAsia"/>
                <w:bCs/>
                <w:color w:val="auto"/>
                <w:szCs w:val="21"/>
                <w:highlight w:val="none"/>
              </w:rPr>
              <w:t>由产生厂家提供售后服务，维修响应时间8小时，维修人员24小时内赶到现场进行修理或更换。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其他</w:t>
            </w:r>
          </w:p>
        </w:tc>
        <w:tc>
          <w:tcPr>
            <w:tcW w:w="3282" w:type="pct"/>
            <w:vAlign w:val="center"/>
          </w:tcPr>
          <w:p>
            <w:pPr>
              <w:rPr>
                <w:b/>
                <w:color w:val="auto"/>
                <w:highlight w:val="none"/>
              </w:rPr>
            </w:pPr>
            <w:r>
              <w:rPr>
                <w:rFonts w:hint="eastAsia" w:asciiTheme="minorEastAsia" w:hAnsiTheme="minorEastAsia" w:eastAsiaTheme="minorEastAsia"/>
                <w:color w:val="auto"/>
                <w:szCs w:val="21"/>
                <w:highlight w:val="none"/>
                <w:lang w:val="en-US" w:eastAsia="zh-CN"/>
              </w:rPr>
              <w:t>3、</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lang w:eastAsia="zh-CN"/>
              </w:rPr>
              <w:t>人</w:t>
            </w:r>
            <w:r>
              <w:rPr>
                <w:rFonts w:asciiTheme="minorEastAsia" w:hAnsiTheme="minorEastAsia" w:eastAsiaTheme="minorEastAsia"/>
                <w:color w:val="auto"/>
                <w:szCs w:val="21"/>
                <w:highlight w:val="none"/>
              </w:rPr>
              <w:t>提供</w:t>
            </w:r>
            <w:r>
              <w:rPr>
                <w:rFonts w:asciiTheme="minorEastAsia" w:hAnsiTheme="minorEastAsia" w:eastAsiaTheme="minorEastAsia"/>
                <w:b/>
                <w:bCs/>
                <w:color w:val="auto"/>
                <w:szCs w:val="21"/>
                <w:highlight w:val="none"/>
              </w:rPr>
              <w:t>售后服务承诺书</w:t>
            </w:r>
            <w:r>
              <w:rPr>
                <w:rFonts w:asciiTheme="minorEastAsia" w:hAnsiTheme="minorEastAsia" w:eastAsiaTheme="minorEastAsia"/>
                <w:color w:val="auto"/>
                <w:szCs w:val="21"/>
                <w:highlight w:val="none"/>
              </w:rPr>
              <w:t>，由生产厂家提供售后服务，生产厂家有固定、专业的售后机构，有专职厂家工程师提供应用培训及上门维修服务</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bCs/>
                <w:color w:val="auto"/>
                <w:szCs w:val="21"/>
                <w:highlight w:val="none"/>
              </w:rPr>
            </w:pP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每年为所供设备提供定期预防性维护保养次数不少于4次。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在保修期内</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应确保年开机率在</w:t>
            </w: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以上</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若不能达到此开机率，将作以下处理：</w:t>
            </w:r>
            <w:r>
              <w:rPr>
                <w:rFonts w:asciiTheme="minorEastAsia" w:hAnsiTheme="minorEastAsia" w:eastAsiaTheme="minorEastAsia"/>
                <w:color w:val="auto"/>
                <w:szCs w:val="21"/>
                <w:highlight w:val="none"/>
              </w:rPr>
              <w:t>a.</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90-95%</w:t>
            </w:r>
            <w:r>
              <w:rPr>
                <w:rFonts w:hint="eastAsia" w:asciiTheme="minorEastAsia" w:hAnsiTheme="minorEastAsia" w:eastAsiaTheme="minorEastAsia"/>
                <w:color w:val="auto"/>
                <w:szCs w:val="21"/>
                <w:highlight w:val="none"/>
              </w:rPr>
              <w:t>之间按一赔二延长保修期；</w:t>
            </w: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年开机率在</w:t>
            </w:r>
            <w:r>
              <w:rPr>
                <w:rFonts w:asciiTheme="minorEastAsia" w:hAnsiTheme="minorEastAsia" w:eastAsiaTheme="minorEastAsia"/>
                <w:color w:val="auto"/>
                <w:szCs w:val="21"/>
                <w:highlight w:val="none"/>
              </w:rPr>
              <w:t>85-90%</w:t>
            </w:r>
            <w:r>
              <w:rPr>
                <w:rFonts w:hint="eastAsia" w:asciiTheme="minorEastAsia" w:hAnsiTheme="minorEastAsia" w:eastAsiaTheme="minorEastAsia"/>
                <w:color w:val="auto"/>
                <w:szCs w:val="21"/>
                <w:highlight w:val="none"/>
              </w:rPr>
              <w:t>之间按一赔五延长保修期；</w:t>
            </w:r>
            <w:r>
              <w:rPr>
                <w:rFonts w:asciiTheme="minorEastAsia" w:hAnsiTheme="minorEastAsia" w:eastAsiaTheme="minorEastAsia"/>
                <w:color w:val="auto"/>
                <w:szCs w:val="21"/>
                <w:highlight w:val="none"/>
              </w:rPr>
              <w:t>c.</w:t>
            </w:r>
            <w:r>
              <w:rPr>
                <w:rFonts w:hint="eastAsia" w:asciiTheme="minorEastAsia" w:hAnsiTheme="minorEastAsia" w:eastAsiaTheme="minorEastAsia"/>
                <w:color w:val="auto"/>
                <w:szCs w:val="21"/>
                <w:highlight w:val="none"/>
              </w:rPr>
              <w:t>年开机率低于</w:t>
            </w:r>
            <w:r>
              <w:rPr>
                <w:rFonts w:asciiTheme="minorEastAsia" w:hAnsiTheme="minorEastAsia" w:eastAsiaTheme="minorEastAsia"/>
                <w:color w:val="auto"/>
                <w:szCs w:val="21"/>
                <w:highlight w:val="none"/>
              </w:rPr>
              <w:t>85%</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必须无条件更换新机，并重新计算保修期，以及赔偿</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Theme="minorEastAsia" w:hAnsiTheme="minorEastAsia" w:eastAsiaTheme="minorEastAsia"/>
                <w:color w:val="auto"/>
                <w:szCs w:val="21"/>
                <w:highlight w:val="none"/>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免费开放软件数据端口，支付对接医院HIS、PACS、LIS系统费用。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50" w:type="pct"/>
            <w:vMerge w:val="continue"/>
            <w:vAlign w:val="center"/>
          </w:tcPr>
          <w:p>
            <w:pPr>
              <w:jc w:val="center"/>
              <w:rPr>
                <w:b/>
                <w:color w:val="auto"/>
                <w:highlight w:val="none"/>
              </w:rPr>
            </w:pPr>
          </w:p>
        </w:tc>
        <w:tc>
          <w:tcPr>
            <w:tcW w:w="967" w:type="pct"/>
            <w:vMerge w:val="continue"/>
            <w:vAlign w:val="center"/>
          </w:tcPr>
          <w:p>
            <w:pPr>
              <w:rPr>
                <w:color w:val="auto"/>
                <w:highlight w:val="none"/>
              </w:rPr>
            </w:pPr>
          </w:p>
        </w:tc>
        <w:tc>
          <w:tcPr>
            <w:tcW w:w="3282" w:type="pct"/>
            <w:vAlign w:val="center"/>
          </w:tcPr>
          <w:p>
            <w:pPr>
              <w:rPr>
                <w:rFonts w:ascii="宋体" w:hAnsi="宋体"/>
                <w:bCs/>
                <w:color w:val="auto"/>
                <w:szCs w:val="21"/>
                <w:highlight w:val="none"/>
              </w:rPr>
            </w:pPr>
            <w:r>
              <w:rPr>
                <w:rFonts w:hint="eastAsia" w:ascii="宋体" w:hAnsi="宋体"/>
                <w:bCs/>
                <w:color w:val="auto"/>
                <w:szCs w:val="21"/>
                <w:highlight w:val="none"/>
                <w:lang w:val="en-US" w:eastAsia="zh-CN"/>
              </w:rPr>
              <w:t>7、</w:t>
            </w:r>
            <w:r>
              <w:rPr>
                <w:rFonts w:hint="eastAsia" w:ascii="宋体" w:hAnsi="宋体"/>
                <w:bCs/>
                <w:color w:val="auto"/>
                <w:szCs w:val="21"/>
                <w:highlight w:val="none"/>
              </w:rPr>
              <w:t>有</w:t>
            </w:r>
            <w:r>
              <w:rPr>
                <w:rFonts w:hint="eastAsia"/>
                <w:color w:val="auto"/>
                <w:highlight w:val="none"/>
              </w:rPr>
              <w:t>专业培训师负责机旁操作培训，直至</w:t>
            </w:r>
            <w:r>
              <w:rPr>
                <w:rFonts w:hint="eastAsia"/>
                <w:color w:val="auto"/>
                <w:highlight w:val="none"/>
                <w:lang w:eastAsia="zh-CN"/>
              </w:rPr>
              <w:t>采购人</w:t>
            </w:r>
            <w:r>
              <w:rPr>
                <w:rFonts w:hint="eastAsia"/>
                <w:color w:val="auto"/>
                <w:highlight w:val="none"/>
              </w:rPr>
              <w:t>熟练使用为止。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50" w:type="pct"/>
            <w:vMerge w:val="restart"/>
            <w:vAlign w:val="center"/>
          </w:tcPr>
          <w:p>
            <w:pPr>
              <w:jc w:val="center"/>
              <w:rPr>
                <w:b/>
                <w:color w:val="auto"/>
                <w:highlight w:val="none"/>
              </w:rPr>
            </w:pPr>
            <w:r>
              <w:rPr>
                <w:rFonts w:hint="eastAsia"/>
                <w:b/>
                <w:color w:val="auto"/>
                <w:highlight w:val="none"/>
              </w:rPr>
              <w:t>（二）免费保修期外售后服务要求</w:t>
            </w:r>
          </w:p>
        </w:tc>
        <w:tc>
          <w:tcPr>
            <w:tcW w:w="967" w:type="pct"/>
            <w:vAlign w:val="center"/>
          </w:tcPr>
          <w:p>
            <w:pPr>
              <w:jc w:val="center"/>
              <w:rPr>
                <w:color w:val="auto"/>
                <w:highlight w:val="none"/>
              </w:rPr>
            </w:pPr>
            <w:r>
              <w:rPr>
                <w:rFonts w:hint="eastAsia"/>
                <w:color w:val="auto"/>
                <w:highlight w:val="none"/>
              </w:rPr>
              <w:t>软件升级</w:t>
            </w:r>
          </w:p>
        </w:tc>
        <w:tc>
          <w:tcPr>
            <w:tcW w:w="3282" w:type="pct"/>
          </w:tcPr>
          <w:p>
            <w:pPr>
              <w:rPr>
                <w:b/>
                <w:color w:val="auto"/>
                <w:szCs w:val="21"/>
                <w:highlight w:val="none"/>
              </w:rPr>
            </w:pPr>
            <w:r>
              <w:rPr>
                <w:rFonts w:hint="eastAsia" w:ascii="宋体" w:hAnsi="宋体"/>
                <w:color w:val="auto"/>
                <w:szCs w:val="21"/>
                <w:highlight w:val="none"/>
              </w:rPr>
              <w:t>1</w:t>
            </w:r>
            <w:r>
              <w:rPr>
                <w:rFonts w:ascii="宋体" w:hAnsi="宋体"/>
                <w:color w:val="auto"/>
                <w:szCs w:val="21"/>
                <w:highlight w:val="none"/>
              </w:rPr>
              <w:t>提供</w:t>
            </w:r>
            <w:r>
              <w:rPr>
                <w:rFonts w:hint="eastAsia" w:ascii="宋体" w:hAnsi="宋体"/>
                <w:color w:val="auto"/>
                <w:szCs w:val="21"/>
                <w:highlight w:val="none"/>
                <w:lang w:eastAsia="zh-CN"/>
              </w:rPr>
              <w:t>采购人</w:t>
            </w:r>
            <w:r>
              <w:rPr>
                <w:rFonts w:ascii="宋体" w:hAnsi="宋体"/>
                <w:color w:val="auto"/>
                <w:szCs w:val="21"/>
                <w:highlight w:val="none"/>
              </w:rPr>
              <w:t>软件升级</w:t>
            </w:r>
            <w:r>
              <w:rPr>
                <w:rFonts w:hint="eastAsia"/>
                <w:color w:val="auto"/>
                <w:szCs w:val="21"/>
                <w:highlight w:val="none"/>
              </w:rPr>
              <w:t>，并免费提供升级所需的硬件。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软件合法性</w:t>
            </w:r>
          </w:p>
        </w:tc>
        <w:tc>
          <w:tcPr>
            <w:tcW w:w="3282" w:type="pct"/>
          </w:tcPr>
          <w:p>
            <w:pPr>
              <w:rPr>
                <w:b/>
                <w:color w:val="auto"/>
                <w:highlight w:val="none"/>
              </w:rPr>
            </w:pPr>
            <w:r>
              <w:rPr>
                <w:rFonts w:hint="eastAsia" w:asciiTheme="minorEastAsia" w:hAnsiTheme="minorEastAsia" w:eastAsiaTheme="minorEastAsia"/>
                <w:color w:val="auto"/>
                <w:szCs w:val="21"/>
                <w:highlight w:val="none"/>
              </w:rPr>
              <w:t>2软件终身免费使用，</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保证所使用软件的合法性，任何知识产权纠纷与采购人无关，造成任何损失由</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Align w:val="center"/>
          </w:tcPr>
          <w:p>
            <w:pPr>
              <w:jc w:val="center"/>
              <w:rPr>
                <w:b/>
                <w:color w:val="auto"/>
                <w:highlight w:val="none"/>
              </w:rPr>
            </w:pPr>
            <w:r>
              <w:rPr>
                <w:rFonts w:hint="eastAsia"/>
                <w:color w:val="auto"/>
                <w:highlight w:val="none"/>
              </w:rPr>
              <w:t>培训</w:t>
            </w:r>
          </w:p>
        </w:tc>
        <w:tc>
          <w:tcPr>
            <w:tcW w:w="3282" w:type="pct"/>
          </w:tcPr>
          <w:p>
            <w:pPr>
              <w:rPr>
                <w:b/>
                <w:color w:val="auto"/>
                <w:highlight w:val="none"/>
              </w:rPr>
            </w:pPr>
            <w:r>
              <w:rPr>
                <w:rFonts w:hint="eastAsia" w:asciiTheme="minorEastAsia" w:hAnsiTheme="minorEastAsia" w:eastAsiaTheme="minorEastAsia"/>
                <w:color w:val="auto"/>
                <w:szCs w:val="21"/>
                <w:highlight w:val="none"/>
              </w:rPr>
              <w:t>3有专业人员对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使用人员进行设备的基本结构、性能，日常的使用保养方法，紧急情况处理等相关内容的培训，并对</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维修工程师进行工作原理，操作使用、维修维护、常见故障排除方法培训。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售后服务</w:t>
            </w:r>
          </w:p>
        </w:tc>
        <w:tc>
          <w:tcPr>
            <w:tcW w:w="3282" w:type="pct"/>
          </w:tcPr>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4保修期满后</w:t>
            </w:r>
            <w:r>
              <w:rPr>
                <w:rFonts w:hint="eastAsia" w:asciiTheme="minorEastAsia" w:hAnsiTheme="minorEastAsia" w:eastAsiaTheme="minorEastAsia"/>
                <w:color w:val="auto"/>
                <w:szCs w:val="21"/>
                <w:highlight w:val="none"/>
                <w:lang w:eastAsia="zh-CN"/>
              </w:rPr>
              <w:t>中标人</w:t>
            </w:r>
            <w:r>
              <w:rPr>
                <w:rFonts w:hint="eastAsia" w:asciiTheme="minorEastAsia" w:hAnsiTheme="minorEastAsia" w:eastAsiaTheme="minorEastAsia"/>
                <w:color w:val="auto"/>
                <w:szCs w:val="21"/>
                <w:highlight w:val="none"/>
              </w:rPr>
              <w:t>保证</w:t>
            </w:r>
            <w:r>
              <w:rPr>
                <w:rFonts w:hint="eastAsia" w:asciiTheme="minorEastAsia" w:hAnsiTheme="minorEastAsia" w:eastAsiaTheme="minorEastAsia"/>
                <w:color w:val="auto"/>
                <w:szCs w:val="21"/>
                <w:highlight w:val="none"/>
                <w:lang w:eastAsia="zh-CN"/>
              </w:rPr>
              <w:t>采购人</w:t>
            </w:r>
            <w:r>
              <w:rPr>
                <w:rFonts w:hint="eastAsia" w:asciiTheme="minorEastAsia" w:hAnsiTheme="minorEastAsia" w:eastAsiaTheme="minorEastAsia"/>
                <w:color w:val="auto"/>
                <w:szCs w:val="21"/>
                <w:highlight w:val="none"/>
              </w:rPr>
              <w:t>要求免差旅费，先上门检修，并保证设备终身的维修零配件的供应及价格优惠。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restart"/>
            <w:vAlign w:val="center"/>
          </w:tcPr>
          <w:p>
            <w:pPr>
              <w:jc w:val="center"/>
              <w:rPr>
                <w:b/>
                <w:color w:val="auto"/>
                <w:highlight w:val="none"/>
              </w:rPr>
            </w:pPr>
            <w:r>
              <w:rPr>
                <w:rFonts w:hint="eastAsia"/>
                <w:b/>
                <w:color w:val="auto"/>
                <w:highlight w:val="none"/>
              </w:rPr>
              <w:t>（三）其他商务要求</w:t>
            </w:r>
          </w:p>
        </w:tc>
        <w:tc>
          <w:tcPr>
            <w:tcW w:w="967" w:type="pct"/>
            <w:vAlign w:val="center"/>
          </w:tcPr>
          <w:p>
            <w:pPr>
              <w:jc w:val="center"/>
              <w:rPr>
                <w:color w:val="auto"/>
                <w:highlight w:val="none"/>
              </w:rPr>
            </w:pPr>
            <w:r>
              <w:rPr>
                <w:rFonts w:hint="eastAsia"/>
                <w:color w:val="auto"/>
                <w:highlight w:val="none"/>
              </w:rPr>
              <w:t>关于交货</w:t>
            </w:r>
          </w:p>
        </w:tc>
        <w:tc>
          <w:tcPr>
            <w:tcW w:w="3282" w:type="pct"/>
          </w:tcPr>
          <w:p>
            <w:pPr>
              <w:rPr>
                <w:rFonts w:hint="eastAsia" w:eastAsia="宋体"/>
                <w:b/>
                <w:color w:val="auto"/>
                <w:highlight w:val="none"/>
                <w:lang w:eastAsia="zh-CN"/>
              </w:rPr>
            </w:pPr>
            <w:r>
              <w:rPr>
                <w:rFonts w:ascii="宋体" w:hAnsi="宋体"/>
                <w:b/>
                <w:bCs/>
                <w:color w:val="auto"/>
                <w:szCs w:val="21"/>
                <w:highlight w:val="none"/>
              </w:rPr>
              <w:t>1</w:t>
            </w:r>
            <w:r>
              <w:rPr>
                <w:rFonts w:hint="eastAsia" w:ascii="宋体" w:hAnsi="宋体"/>
                <w:b/>
                <w:bCs/>
                <w:color w:val="auto"/>
                <w:szCs w:val="21"/>
                <w:highlight w:val="none"/>
                <w:lang w:eastAsia="zh-CN"/>
              </w:rPr>
              <w:t>、</w:t>
            </w:r>
            <w:r>
              <w:rPr>
                <w:rFonts w:hint="eastAsia" w:ascii="宋体" w:hAnsi="宋体"/>
                <w:b/>
                <w:bCs/>
                <w:color w:val="auto"/>
                <w:szCs w:val="21"/>
                <w:highlight w:val="none"/>
              </w:rPr>
              <w:t>交货期：签订合同之日起</w:t>
            </w:r>
            <w:r>
              <w:rPr>
                <w:rFonts w:hint="eastAsia" w:ascii="宋体" w:hAnsi="宋体"/>
                <w:b/>
                <w:bCs/>
                <w:color w:val="auto"/>
                <w:szCs w:val="21"/>
                <w:highlight w:val="none"/>
                <w:lang w:val="en-US" w:eastAsia="zh-CN"/>
              </w:rPr>
              <w:t>7</w:t>
            </w:r>
            <w:r>
              <w:rPr>
                <w:rFonts w:hint="eastAsia" w:ascii="宋体" w:hAnsi="宋体"/>
                <w:b/>
                <w:bCs/>
                <w:color w:val="auto"/>
                <w:szCs w:val="21"/>
                <w:highlight w:val="none"/>
              </w:rPr>
              <w:t>日历天内交货、安装、调试、验收完毕并交付使用。</w:t>
            </w:r>
            <w:r>
              <w:rPr>
                <w:rFonts w:hint="eastAsia" w:asciiTheme="minorEastAsia" w:hAnsiTheme="minorEastAsia" w:eastAsiaTheme="minorEastAsia"/>
                <w:b/>
                <w:bCs/>
                <w:color w:val="auto"/>
                <w:szCs w:val="21"/>
                <w:highlight w:val="none"/>
              </w:rPr>
              <w:t>安装标准:符合我国国家有关技术规范和技术标准；验收标准：应与投标文件技术标准一致 ,并符合我国有关技术规范和技术标准。</w:t>
            </w:r>
            <w:r>
              <w:rPr>
                <w:rFonts w:hint="eastAsia"/>
                <w:bCs/>
                <w:color w:val="auto"/>
                <w:szCs w:val="21"/>
                <w:highlight w:val="none"/>
                <w:lang w:eastAsia="zh-CN"/>
              </w:rPr>
              <w:t>中标人</w:t>
            </w:r>
            <w:r>
              <w:rPr>
                <w:rFonts w:hint="eastAsia"/>
                <w:bCs/>
                <w:color w:val="auto"/>
                <w:szCs w:val="21"/>
                <w:highlight w:val="none"/>
              </w:rPr>
              <w:t>必须承担的设备运输、安装调试、验收检测和提供设备操作说明书、维修手册、图纸等其他类似的义务</w:t>
            </w:r>
            <w:r>
              <w:rPr>
                <w:rFonts w:hint="eastAsia"/>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50" w:type="pct"/>
            <w:vMerge w:val="continue"/>
            <w:vAlign w:val="center"/>
          </w:tcPr>
          <w:p>
            <w:pPr>
              <w:jc w:val="center"/>
              <w:rPr>
                <w:b/>
                <w:color w:val="auto"/>
                <w:highlight w:val="none"/>
              </w:rPr>
            </w:pPr>
          </w:p>
        </w:tc>
        <w:tc>
          <w:tcPr>
            <w:tcW w:w="967" w:type="pct"/>
            <w:vAlign w:val="center"/>
          </w:tcPr>
          <w:p>
            <w:pPr>
              <w:jc w:val="center"/>
              <w:rPr>
                <w:color w:val="auto"/>
                <w:highlight w:val="none"/>
              </w:rPr>
            </w:pPr>
            <w:r>
              <w:rPr>
                <w:rFonts w:hint="eastAsia"/>
                <w:color w:val="auto"/>
                <w:highlight w:val="none"/>
              </w:rPr>
              <w:t>报价</w:t>
            </w:r>
          </w:p>
        </w:tc>
        <w:tc>
          <w:tcPr>
            <w:tcW w:w="3282" w:type="pct"/>
          </w:tcPr>
          <w:p>
            <w:pPr>
              <w:rPr>
                <w:bCs/>
                <w:color w:val="auto"/>
                <w:szCs w:val="21"/>
                <w:highlight w:val="none"/>
              </w:rPr>
            </w:pPr>
            <w:r>
              <w:rPr>
                <w:rFonts w:hint="eastAsia"/>
                <w:bCs/>
                <w:color w:val="auto"/>
                <w:szCs w:val="21"/>
                <w:highlight w:val="none"/>
                <w:lang w:val="en-US" w:eastAsia="zh-CN"/>
              </w:rPr>
              <w:t>2、</w:t>
            </w:r>
            <w:r>
              <w:rPr>
                <w:rFonts w:hint="eastAsia"/>
                <w:bCs/>
                <w:color w:val="auto"/>
                <w:szCs w:val="21"/>
                <w:highlight w:val="none"/>
              </w:rPr>
              <w:t>以人民币为结算货币，投标报价包含完成项目所需的一切费用，即：设备费、软件费、税费、运输费、装卸费、安装费、调试费、培训费、计量及技术服务费、机房改造费和一切不可预见费等一切费用，项目结算时不做任何单价或费用的调整。</w:t>
            </w:r>
            <w:r>
              <w:rPr>
                <w:rFonts w:hint="eastAsia"/>
                <w:bCs/>
                <w:color w:val="auto"/>
                <w:szCs w:val="21"/>
                <w:highlight w:val="none"/>
                <w:lang w:eastAsia="zh-CN"/>
              </w:rPr>
              <w:t>中标人</w:t>
            </w:r>
            <w:r>
              <w:rPr>
                <w:rFonts w:hint="eastAsia"/>
                <w:bCs/>
                <w:color w:val="auto"/>
                <w:szCs w:val="21"/>
                <w:highlight w:val="none"/>
              </w:rPr>
              <w:t>的投标总报价高于</w:t>
            </w:r>
            <w:r>
              <w:rPr>
                <w:rFonts w:hint="eastAsia"/>
                <w:bCs/>
                <w:color w:val="auto"/>
                <w:szCs w:val="21"/>
                <w:highlight w:val="none"/>
                <w:lang w:eastAsia="zh-CN"/>
              </w:rPr>
              <w:t>预算</w:t>
            </w:r>
            <w:r>
              <w:rPr>
                <w:rFonts w:hint="eastAsia"/>
                <w:bCs/>
                <w:color w:val="auto"/>
                <w:szCs w:val="21"/>
                <w:highlight w:val="none"/>
              </w:rPr>
              <w:t>金额为无效投标。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color w:val="auto"/>
                <w:highlight w:val="none"/>
              </w:rPr>
            </w:pPr>
            <w:r>
              <w:rPr>
                <w:rFonts w:hint="eastAsia"/>
                <w:color w:val="auto"/>
                <w:highlight w:val="none"/>
              </w:rPr>
              <w:t>关于验收</w:t>
            </w:r>
          </w:p>
        </w:tc>
        <w:tc>
          <w:tcPr>
            <w:tcW w:w="3282" w:type="pct"/>
          </w:tcPr>
          <w:p>
            <w:pPr>
              <w:spacing w:line="340" w:lineRule="exact"/>
              <w:rPr>
                <w:bCs/>
                <w:color w:val="auto"/>
                <w:szCs w:val="21"/>
                <w:highlight w:val="none"/>
              </w:rPr>
            </w:pPr>
            <w:r>
              <w:rPr>
                <w:rFonts w:hint="eastAsia"/>
                <w:bCs/>
                <w:color w:val="auto"/>
                <w:szCs w:val="21"/>
                <w:highlight w:val="none"/>
                <w:lang w:val="en-US" w:eastAsia="zh-CN"/>
              </w:rPr>
              <w:t>3、</w:t>
            </w:r>
            <w:r>
              <w:rPr>
                <w:rFonts w:hint="eastAsia"/>
                <w:bCs/>
                <w:color w:val="auto"/>
                <w:szCs w:val="21"/>
                <w:highlight w:val="none"/>
                <w:lang w:eastAsia="zh-CN"/>
              </w:rPr>
              <w:t>中标人</w:t>
            </w:r>
            <w:r>
              <w:rPr>
                <w:rFonts w:hint="eastAsia"/>
                <w:bCs/>
                <w:color w:val="auto"/>
                <w:szCs w:val="21"/>
                <w:highlight w:val="none"/>
              </w:rPr>
              <w:t>货物经过双方检验认可后，签署验收报告，产品保修期自验收合格之日起算，由</w:t>
            </w:r>
            <w:r>
              <w:rPr>
                <w:rFonts w:hint="eastAsia"/>
                <w:bCs/>
                <w:color w:val="auto"/>
                <w:szCs w:val="21"/>
                <w:highlight w:val="none"/>
                <w:lang w:eastAsia="zh-CN"/>
              </w:rPr>
              <w:t>中标人</w:t>
            </w:r>
            <w:r>
              <w:rPr>
                <w:rFonts w:hint="eastAsia"/>
                <w:bCs/>
                <w:color w:val="auto"/>
                <w:szCs w:val="21"/>
                <w:highlight w:val="none"/>
              </w:rPr>
              <w:t>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3282" w:type="pct"/>
          </w:tcPr>
          <w:p>
            <w:pPr>
              <w:spacing w:line="340" w:lineRule="exact"/>
              <w:rPr>
                <w:bCs/>
                <w:color w:val="auto"/>
                <w:szCs w:val="21"/>
                <w:highlight w:val="none"/>
              </w:rPr>
            </w:pPr>
            <w:r>
              <w:rPr>
                <w:rFonts w:hint="eastAsia"/>
                <w:bCs/>
                <w:color w:val="auto"/>
                <w:szCs w:val="21"/>
                <w:highlight w:val="none"/>
                <w:lang w:val="en-US" w:eastAsia="zh-CN"/>
              </w:rPr>
              <w:t>4、</w:t>
            </w:r>
            <w:r>
              <w:rPr>
                <w:rFonts w:hint="eastAsia"/>
                <w:bCs/>
                <w:color w:val="auto"/>
                <w:szCs w:val="21"/>
                <w:highlight w:val="none"/>
              </w:rPr>
              <w:t>当满足以下条件时，采购人才签货物验收报告：</w:t>
            </w:r>
          </w:p>
          <w:p>
            <w:pPr>
              <w:tabs>
                <w:tab w:val="left" w:pos="1260"/>
              </w:tabs>
              <w:spacing w:line="340" w:lineRule="exact"/>
              <w:rPr>
                <w:bCs/>
                <w:color w:val="auto"/>
                <w:szCs w:val="21"/>
                <w:highlight w:val="none"/>
              </w:rPr>
            </w:pPr>
            <w:r>
              <w:rPr>
                <w:bCs/>
                <w:color w:val="auto"/>
                <w:szCs w:val="21"/>
                <w:highlight w:val="none"/>
              </w:rPr>
              <w:t>a</w:t>
            </w:r>
            <w:r>
              <w:rPr>
                <w:rFonts w:hint="eastAsia"/>
                <w:bCs/>
                <w:color w:val="auto"/>
                <w:szCs w:val="21"/>
                <w:highlight w:val="none"/>
              </w:rPr>
              <w:t>、中标人已按照合同规定提供了全部产品及完整的技术资料。</w:t>
            </w:r>
          </w:p>
          <w:p>
            <w:pPr>
              <w:tabs>
                <w:tab w:val="left" w:pos="1260"/>
              </w:tabs>
              <w:spacing w:line="340" w:lineRule="exact"/>
              <w:rPr>
                <w:bCs/>
                <w:color w:val="auto"/>
                <w:szCs w:val="21"/>
                <w:highlight w:val="none"/>
              </w:rPr>
            </w:pPr>
            <w:r>
              <w:rPr>
                <w:bCs/>
                <w:color w:val="auto"/>
                <w:szCs w:val="21"/>
                <w:highlight w:val="none"/>
              </w:rPr>
              <w:t>b</w:t>
            </w:r>
            <w:r>
              <w:rPr>
                <w:rFonts w:hint="eastAsia"/>
                <w:bCs/>
                <w:color w:val="auto"/>
                <w:szCs w:val="21"/>
                <w:highlight w:val="none"/>
              </w:rPr>
              <w:t>、货物符合招标文件技术规格书的要求，性能满足要求。</w:t>
            </w:r>
          </w:p>
          <w:p>
            <w:pPr>
              <w:tabs>
                <w:tab w:val="left" w:pos="1260"/>
              </w:tabs>
              <w:spacing w:line="340" w:lineRule="exact"/>
              <w:rPr>
                <w:bCs/>
                <w:color w:val="auto"/>
                <w:szCs w:val="21"/>
                <w:highlight w:val="none"/>
              </w:rPr>
            </w:pPr>
            <w:r>
              <w:rPr>
                <w:bCs/>
                <w:color w:val="auto"/>
                <w:szCs w:val="21"/>
                <w:highlight w:val="none"/>
              </w:rPr>
              <w:t>c</w:t>
            </w:r>
            <w:r>
              <w:rPr>
                <w:rFonts w:hint="eastAsia"/>
                <w:bCs/>
                <w:color w:val="auto"/>
                <w:szCs w:val="21"/>
                <w:highlight w:val="none"/>
              </w:rPr>
              <w:t>、货物为国产产品，须提供产品合格证。</w:t>
            </w:r>
          </w:p>
          <w:p>
            <w:pPr>
              <w:tabs>
                <w:tab w:val="left" w:pos="1260"/>
              </w:tabs>
              <w:spacing w:line="340" w:lineRule="exact"/>
              <w:rPr>
                <w:bCs/>
                <w:color w:val="auto"/>
                <w:szCs w:val="21"/>
                <w:highlight w:val="none"/>
              </w:rPr>
            </w:pPr>
            <w:r>
              <w:rPr>
                <w:rFonts w:hint="eastAsia"/>
                <w:bCs/>
                <w:color w:val="auto"/>
                <w:szCs w:val="21"/>
                <w:highlight w:val="none"/>
              </w:rPr>
              <w:t>d、货物为进口产品，须提供相关报关资料。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50" w:type="pct"/>
            <w:vMerge w:val="continue"/>
            <w:vAlign w:val="center"/>
          </w:tcPr>
          <w:p>
            <w:pPr>
              <w:jc w:val="center"/>
              <w:rPr>
                <w:b/>
                <w:color w:val="auto"/>
                <w:highlight w:val="none"/>
              </w:rPr>
            </w:pPr>
          </w:p>
        </w:tc>
        <w:tc>
          <w:tcPr>
            <w:tcW w:w="967" w:type="pct"/>
            <w:vMerge w:val="continue"/>
          </w:tcPr>
          <w:p>
            <w:pPr>
              <w:rPr>
                <w:b/>
                <w:color w:val="auto"/>
                <w:highlight w:val="none"/>
              </w:rPr>
            </w:pPr>
          </w:p>
        </w:tc>
        <w:tc>
          <w:tcPr>
            <w:tcW w:w="5594" w:type="dxa"/>
            <w:vAlign w:val="top"/>
          </w:tcPr>
          <w:p>
            <w:pPr>
              <w:spacing w:line="340" w:lineRule="exact"/>
              <w:rPr>
                <w:bCs/>
                <w:color w:val="auto"/>
                <w:szCs w:val="21"/>
                <w:highlight w:val="none"/>
              </w:rPr>
            </w:pPr>
            <w:r>
              <w:rPr>
                <w:rFonts w:hint="eastAsia"/>
                <w:bCs/>
                <w:color w:val="auto"/>
                <w:szCs w:val="21"/>
                <w:highlight w:val="none"/>
                <w:lang w:val="en-US" w:eastAsia="zh-CN"/>
              </w:rPr>
              <w:t>5、</w:t>
            </w:r>
            <w:r>
              <w:rPr>
                <w:rFonts w:hint="eastAsia"/>
                <w:bCs/>
                <w:color w:val="auto"/>
                <w:szCs w:val="21"/>
                <w:highlight w:val="none"/>
              </w:rPr>
              <w:t>本项目要求提供由深圳市计量院出具的全性能检测报告，检测费用由中标方承担（深圳市计量院不能检测的设备除外）；属于国家规定的强检设备，还需提供计量检定证书。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750" w:type="pct"/>
            <w:vMerge w:val="continue"/>
            <w:vAlign w:val="center"/>
          </w:tcPr>
          <w:p>
            <w:pPr>
              <w:jc w:val="center"/>
              <w:rPr>
                <w:b/>
                <w:color w:val="auto"/>
                <w:highlight w:val="none"/>
              </w:rPr>
            </w:pPr>
          </w:p>
        </w:tc>
        <w:tc>
          <w:tcPr>
            <w:tcW w:w="967" w:type="pct"/>
            <w:vMerge w:val="restart"/>
            <w:vAlign w:val="center"/>
          </w:tcPr>
          <w:p>
            <w:pPr>
              <w:jc w:val="center"/>
              <w:rPr>
                <w:b/>
                <w:color w:val="auto"/>
                <w:highlight w:val="none"/>
              </w:rPr>
            </w:pPr>
            <w:r>
              <w:rPr>
                <w:rFonts w:hint="eastAsia"/>
                <w:color w:val="auto"/>
                <w:highlight w:val="none"/>
              </w:rPr>
              <w:t>付款方式</w:t>
            </w:r>
          </w:p>
        </w:tc>
        <w:tc>
          <w:tcPr>
            <w:tcW w:w="5594" w:type="dxa"/>
            <w:vAlign w:val="top"/>
          </w:tcPr>
          <w:p>
            <w:pPr>
              <w:rPr>
                <w:color w:val="auto"/>
                <w:highlight w:val="none"/>
              </w:rPr>
            </w:pPr>
            <w:r>
              <w:rPr>
                <w:rFonts w:hint="eastAsia"/>
                <w:color w:val="auto"/>
                <w:highlight w:val="none"/>
                <w:lang w:val="en-US" w:eastAsia="zh-CN"/>
              </w:rPr>
              <w:t>6、</w:t>
            </w:r>
            <w:r>
              <w:rPr>
                <w:rFonts w:hint="eastAsia"/>
                <w:color w:val="auto"/>
                <w:highlight w:val="none"/>
              </w:rPr>
              <w:t>设备安装调试完毕，经验收合格的，</w:t>
            </w:r>
            <w:r>
              <w:rPr>
                <w:rFonts w:hint="eastAsia"/>
                <w:color w:val="auto"/>
                <w:highlight w:val="none"/>
                <w:lang w:val="en-US" w:eastAsia="zh-CN"/>
              </w:rPr>
              <w:t>中标人</w:t>
            </w:r>
            <w:r>
              <w:rPr>
                <w:rFonts w:hint="eastAsia"/>
                <w:color w:val="auto"/>
                <w:highlight w:val="none"/>
              </w:rPr>
              <w:t>提供全额的发票，</w:t>
            </w:r>
            <w:r>
              <w:rPr>
                <w:rFonts w:hint="eastAsia"/>
                <w:color w:val="auto"/>
                <w:highlight w:val="none"/>
                <w:lang w:val="en-US" w:eastAsia="zh-CN"/>
              </w:rPr>
              <w:t>采购人</w:t>
            </w:r>
            <w:r>
              <w:rPr>
                <w:rFonts w:hint="eastAsia"/>
                <w:color w:val="auto"/>
                <w:highlight w:val="none"/>
              </w:rPr>
              <w:t>在收到</w:t>
            </w:r>
            <w:r>
              <w:rPr>
                <w:rFonts w:hint="eastAsia"/>
                <w:color w:val="auto"/>
                <w:highlight w:val="none"/>
                <w:lang w:val="en-US" w:eastAsia="zh-CN"/>
              </w:rPr>
              <w:t>中标人</w:t>
            </w:r>
            <w:r>
              <w:rPr>
                <w:rFonts w:hint="eastAsia"/>
                <w:color w:val="auto"/>
                <w:highlight w:val="none"/>
              </w:rPr>
              <w:t>合同总价的【5%】质保金后【90】天内支付合同总价的【100%】货款，保修期满后，由</w:t>
            </w:r>
            <w:r>
              <w:rPr>
                <w:rFonts w:hint="eastAsia"/>
                <w:color w:val="auto"/>
                <w:highlight w:val="none"/>
                <w:lang w:val="en-US" w:eastAsia="zh-CN"/>
              </w:rPr>
              <w:t>中标人</w:t>
            </w:r>
            <w:r>
              <w:rPr>
                <w:rFonts w:hint="eastAsia"/>
                <w:color w:val="auto"/>
                <w:highlight w:val="none"/>
              </w:rPr>
              <w:t>提出申请，</w:t>
            </w:r>
            <w:r>
              <w:rPr>
                <w:rFonts w:hint="eastAsia"/>
                <w:color w:val="auto"/>
                <w:highlight w:val="none"/>
                <w:lang w:val="en-US" w:eastAsia="zh-CN"/>
              </w:rPr>
              <w:t>采购人</w:t>
            </w:r>
            <w:r>
              <w:rPr>
                <w:rFonts w:hint="eastAsia"/>
                <w:color w:val="auto"/>
                <w:highlight w:val="none"/>
              </w:rPr>
              <w:t>在一个月内无息付清5%质保金。保修期内，如</w:t>
            </w:r>
            <w:r>
              <w:rPr>
                <w:rFonts w:hint="eastAsia"/>
                <w:color w:val="auto"/>
                <w:highlight w:val="none"/>
                <w:lang w:val="en-US" w:eastAsia="zh-CN"/>
              </w:rPr>
              <w:t>中标人</w:t>
            </w:r>
            <w:r>
              <w:rPr>
                <w:rFonts w:hint="eastAsia"/>
                <w:color w:val="auto"/>
                <w:highlight w:val="none"/>
              </w:rPr>
              <w:t>未按照本合同的约定提供售后服务或履行义务的行为不符合本合同约定的，则质保金</w:t>
            </w:r>
            <w:r>
              <w:rPr>
                <w:rFonts w:hint="eastAsia"/>
                <w:color w:val="auto"/>
                <w:highlight w:val="none"/>
                <w:lang w:val="en-US" w:eastAsia="zh-CN"/>
              </w:rPr>
              <w:t>采购人</w:t>
            </w:r>
            <w:r>
              <w:rPr>
                <w:rFonts w:hint="eastAsia"/>
                <w:color w:val="auto"/>
                <w:highlight w:val="none"/>
              </w:rPr>
              <w:t>有权不予以支付。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7、</w:t>
            </w:r>
            <w:r>
              <w:rPr>
                <w:rFonts w:hint="eastAsia"/>
                <w:color w:val="auto"/>
                <w:highlight w:val="none"/>
                <w:lang w:eastAsia="zh-CN"/>
              </w:rPr>
              <w:t>中标人</w:t>
            </w:r>
            <w:r>
              <w:rPr>
                <w:rFonts w:hint="eastAsia"/>
                <w:color w:val="auto"/>
                <w:highlight w:val="none"/>
              </w:rPr>
              <w:t>逾期交付设备的，每逾期一天，应向</w:t>
            </w:r>
            <w:r>
              <w:rPr>
                <w:rFonts w:hint="eastAsia"/>
                <w:color w:val="auto"/>
                <w:highlight w:val="none"/>
                <w:lang w:eastAsia="zh-CN"/>
              </w:rPr>
              <w:t>采购人</w:t>
            </w:r>
            <w:r>
              <w:rPr>
                <w:rFonts w:hint="eastAsia"/>
                <w:color w:val="auto"/>
                <w:highlight w:val="none"/>
              </w:rPr>
              <w:t>支付合同总价0.5%的违约金。</w:t>
            </w:r>
            <w:r>
              <w:rPr>
                <w:rFonts w:hint="eastAsia"/>
                <w:color w:val="auto"/>
                <w:highlight w:val="none"/>
                <w:lang w:eastAsia="zh-CN"/>
              </w:rPr>
              <w:t>中标人</w:t>
            </w:r>
            <w:r>
              <w:rPr>
                <w:rFonts w:hint="eastAsia"/>
                <w:color w:val="auto"/>
                <w:highlight w:val="none"/>
              </w:rPr>
              <w:t>逾期交货达10个自然日仍未完成交货义务的，视为</w:t>
            </w:r>
            <w:r>
              <w:rPr>
                <w:rFonts w:hint="eastAsia"/>
                <w:color w:val="auto"/>
                <w:highlight w:val="none"/>
                <w:lang w:eastAsia="zh-CN"/>
              </w:rPr>
              <w:t>中标人</w:t>
            </w:r>
            <w:r>
              <w:rPr>
                <w:rFonts w:hint="eastAsia"/>
                <w:color w:val="auto"/>
                <w:highlight w:val="none"/>
              </w:rPr>
              <w:t>不能交货，</w:t>
            </w:r>
            <w:r>
              <w:rPr>
                <w:rFonts w:hint="eastAsia"/>
                <w:color w:val="auto"/>
                <w:highlight w:val="none"/>
                <w:lang w:eastAsia="zh-CN"/>
              </w:rPr>
              <w:t>采购人</w:t>
            </w:r>
            <w:r>
              <w:rPr>
                <w:rFonts w:hint="eastAsia"/>
                <w:color w:val="auto"/>
                <w:highlight w:val="none"/>
              </w:rPr>
              <w:t>有权解除合同，并有权要求</w:t>
            </w:r>
            <w:r>
              <w:rPr>
                <w:rFonts w:hint="eastAsia"/>
                <w:color w:val="auto"/>
                <w:highlight w:val="none"/>
                <w:lang w:eastAsia="zh-CN"/>
              </w:rPr>
              <w:t>中标人</w:t>
            </w:r>
            <w:r>
              <w:rPr>
                <w:rFonts w:hint="eastAsia"/>
                <w:color w:val="auto"/>
                <w:highlight w:val="none"/>
              </w:rPr>
              <w:t>支付合同总价30%的违约金。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50" w:type="pct"/>
            <w:vMerge w:val="continue"/>
            <w:vAlign w:val="center"/>
          </w:tcPr>
          <w:p>
            <w:pPr>
              <w:jc w:val="center"/>
              <w:rPr>
                <w:color w:val="auto"/>
                <w:highlight w:val="none"/>
              </w:rPr>
            </w:pPr>
          </w:p>
        </w:tc>
        <w:tc>
          <w:tcPr>
            <w:tcW w:w="967" w:type="pct"/>
            <w:vMerge w:val="continue"/>
          </w:tcPr>
          <w:p>
            <w:pPr>
              <w:rPr>
                <w:b/>
                <w:color w:val="auto"/>
                <w:highlight w:val="none"/>
              </w:rPr>
            </w:pPr>
          </w:p>
        </w:tc>
        <w:tc>
          <w:tcPr>
            <w:tcW w:w="3282" w:type="pct"/>
          </w:tcPr>
          <w:p>
            <w:pPr>
              <w:rPr>
                <w:b/>
                <w:color w:val="auto"/>
                <w:highlight w:val="none"/>
              </w:rPr>
            </w:pPr>
            <w:r>
              <w:rPr>
                <w:rFonts w:hint="eastAsia"/>
                <w:color w:val="auto"/>
                <w:highlight w:val="none"/>
                <w:lang w:val="en-US" w:eastAsia="zh-CN"/>
              </w:rPr>
              <w:t>8、</w:t>
            </w:r>
            <w:r>
              <w:rPr>
                <w:rFonts w:hint="eastAsia"/>
                <w:color w:val="auto"/>
                <w:highlight w:val="none"/>
              </w:rPr>
              <w:t>由于</w:t>
            </w:r>
            <w:r>
              <w:rPr>
                <w:rFonts w:hint="eastAsia"/>
                <w:color w:val="auto"/>
                <w:highlight w:val="none"/>
                <w:lang w:eastAsia="zh-CN"/>
              </w:rPr>
              <w:t>中标人</w:t>
            </w:r>
            <w:r>
              <w:rPr>
                <w:rFonts w:hint="eastAsia"/>
                <w:color w:val="auto"/>
                <w:highlight w:val="none"/>
              </w:rPr>
              <w:t>的原因，在货到10日历天内未进行安装调试，或安装调试时间超过正常要求，按每超过一天罚款合同总额的0.5%或按实际损失罚款。情节严重者，将依法律程序对</w:t>
            </w:r>
            <w:r>
              <w:rPr>
                <w:rFonts w:hint="eastAsia"/>
                <w:color w:val="auto"/>
                <w:highlight w:val="none"/>
                <w:lang w:eastAsia="zh-CN"/>
              </w:rPr>
              <w:t>中标人</w:t>
            </w:r>
            <w:r>
              <w:rPr>
                <w:rFonts w:hint="eastAsia"/>
                <w:color w:val="auto"/>
                <w:highlight w:val="none"/>
              </w:rPr>
              <w:t>进行索赔</w:t>
            </w:r>
          </w:p>
        </w:tc>
      </w:tr>
    </w:tbl>
    <w:p>
      <w:pPr>
        <w:tabs>
          <w:tab w:val="left" w:pos="1260"/>
        </w:tabs>
        <w:spacing w:line="400" w:lineRule="exact"/>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rPr>
          <w:bCs/>
          <w:szCs w:val="21"/>
        </w:rPr>
      </w:pPr>
    </w:p>
    <w:p>
      <w:pPr>
        <w:pStyle w:val="2"/>
        <w:ind w:left="0" w:leftChars="0" w:firstLine="0" w:firstLineChars="0"/>
        <w:rPr>
          <w:bCs/>
          <w:szCs w:val="21"/>
        </w:rPr>
      </w:pPr>
    </w:p>
    <w:p>
      <w:pPr>
        <w:pStyle w:val="2"/>
        <w:rPr>
          <w:bCs/>
          <w:szCs w:val="21"/>
        </w:rPr>
      </w:pPr>
    </w:p>
    <w:p>
      <w:pPr>
        <w:pStyle w:val="21"/>
        <w:keepNext w:val="0"/>
        <w:keepLines w:val="0"/>
        <w:pageBreakBefore w:val="0"/>
        <w:widowControl w:val="0"/>
        <w:numPr>
          <w:ilvl w:val="0"/>
          <w:numId w:val="5"/>
        </w:numPr>
        <w:tabs>
          <w:tab w:val="left" w:pos="562"/>
          <w:tab w:val="left" w:pos="3372"/>
          <w:tab w:val="left" w:pos="3653"/>
        </w:tabs>
        <w:kinsoku/>
        <w:wordWrap/>
        <w:overflowPunct/>
        <w:topLinePunct w:val="0"/>
        <w:autoSpaceDE/>
        <w:autoSpaceDN/>
        <w:bidi w:val="0"/>
        <w:adjustRightInd w:val="0"/>
        <w:snapToGrid w:val="0"/>
        <w:spacing w:line="460" w:lineRule="atLeast"/>
        <w:textAlignment w:val="auto"/>
        <w:rPr>
          <w:rFonts w:hint="eastAsia" w:ascii="宋体" w:hAnsi="宋体" w:eastAsia="宋体" w:cs="Times New Roman"/>
          <w:b/>
          <w:bCs w:val="0"/>
          <w:kern w:val="2"/>
          <w:sz w:val="24"/>
          <w:szCs w:val="24"/>
          <w:lang w:val="en-US" w:eastAsia="zh-CN" w:bidi="ar-SA"/>
        </w:rPr>
      </w:pPr>
      <w:bookmarkStart w:id="0" w:name="_Toc18222"/>
      <w:r>
        <w:rPr>
          <w:rFonts w:hint="eastAsia" w:ascii="宋体" w:hAnsi="宋体" w:eastAsia="宋体" w:cs="Times New Roman"/>
          <w:b/>
          <w:bCs w:val="0"/>
          <w:kern w:val="2"/>
          <w:sz w:val="24"/>
          <w:szCs w:val="24"/>
          <w:lang w:val="en-US" w:eastAsia="zh-CN" w:bidi="ar-SA"/>
        </w:rPr>
        <w:t>综合评分表</w:t>
      </w:r>
      <w:bookmarkEnd w:id="0"/>
    </w:p>
    <w:p>
      <w:pPr>
        <w:numPr>
          <w:ilvl w:val="0"/>
          <w:numId w:val="0"/>
        </w:numPr>
        <w:rPr>
          <w:rFonts w:hint="eastAsia"/>
          <w:lang w:val="en-US" w:eastAsia="zh-CN"/>
        </w:rPr>
      </w:pPr>
    </w:p>
    <w:tbl>
      <w:tblPr>
        <w:tblStyle w:val="54"/>
        <w:tblW w:w="93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9"/>
        <w:gridCol w:w="1355"/>
        <w:gridCol w:w="5580"/>
        <w:gridCol w:w="837"/>
        <w:gridCol w:w="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评审部分</w:t>
            </w:r>
          </w:p>
        </w:tc>
        <w:tc>
          <w:tcPr>
            <w:tcW w:w="1355"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权重</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一</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技术部分（</w:t>
            </w:r>
            <w:r>
              <w:rPr>
                <w:rFonts w:hint="eastAsia" w:ascii="宋体" w:hAnsi="宋体"/>
                <w:b/>
                <w:color w:val="auto"/>
                <w:szCs w:val="21"/>
                <w:highlight w:val="none"/>
                <w:lang w:val="en-US" w:eastAsia="zh-CN"/>
              </w:rPr>
              <w:t>40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99" w:type="dxa"/>
            <w:tcBorders>
              <w:top w:val="single" w:color="auto" w:sz="8" w:space="0"/>
              <w:left w:val="single" w:color="auto" w:sz="8" w:space="0"/>
              <w:bottom w:val="single" w:color="auto" w:sz="4" w:space="0"/>
              <w:right w:val="single" w:color="auto" w:sz="8" w:space="0"/>
            </w:tcBorders>
            <w:vAlign w:val="center"/>
          </w:tcPr>
          <w:p>
            <w:pPr>
              <w:pStyle w:val="295"/>
              <w:numPr>
                <w:ilvl w:val="0"/>
                <w:numId w:val="6"/>
              </w:numPr>
              <w:spacing w:line="360" w:lineRule="auto"/>
              <w:ind w:firstLineChars="0"/>
              <w:jc w:val="right"/>
              <w:rPr>
                <w:rFonts w:ascii="宋体" w:hAnsi="宋体"/>
                <w:color w:val="auto"/>
                <w:szCs w:val="21"/>
                <w:highlight w:val="none"/>
              </w:rPr>
            </w:pP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技术规格偏离情况</w:t>
            </w:r>
          </w:p>
        </w:tc>
        <w:tc>
          <w:tcPr>
            <w:tcW w:w="5580" w:type="dxa"/>
            <w:tcBorders>
              <w:top w:val="single" w:color="auto" w:sz="8" w:space="0"/>
              <w:left w:val="single" w:color="auto" w:sz="8" w:space="0"/>
              <w:bottom w:val="single" w:color="auto" w:sz="8" w:space="0"/>
              <w:right w:val="single" w:color="auto" w:sz="8" w:space="0"/>
            </w:tcBorders>
            <w:vAlign w:val="center"/>
          </w:tcPr>
          <w:p>
            <w:pPr>
              <w:ind w:left="-78" w:leftChars="-37" w:right="-73" w:rightChars="-35"/>
              <w:jc w:val="left"/>
              <w:rPr>
                <w:rFonts w:hint="default" w:eastAsia="宋体"/>
                <w:color w:val="auto"/>
                <w:highlight w:val="none"/>
                <w:lang w:val="en-US" w:eastAsia="zh-CN"/>
              </w:rPr>
            </w:pPr>
            <w:r>
              <w:rPr>
                <w:rFonts w:hint="eastAsia"/>
                <w:color w:val="auto"/>
                <w:highlight w:val="none"/>
              </w:rPr>
              <w:t>投标人应如实填写《用户需求书条款响应一览表》的技术条款，评审委员会根据技术需求参数响应情况进行打分，各项技术参数指标及要求全部满足或优于的得</w:t>
            </w:r>
            <w:r>
              <w:rPr>
                <w:rFonts w:hint="eastAsia"/>
                <w:color w:val="auto"/>
                <w:highlight w:val="none"/>
                <w:lang w:val="en-US" w:eastAsia="zh-CN"/>
              </w:rPr>
              <w:t>40</w:t>
            </w:r>
            <w:r>
              <w:rPr>
                <w:rFonts w:hint="eastAsia"/>
                <w:color w:val="auto"/>
                <w:highlight w:val="none"/>
              </w:rPr>
              <w:t>分，</w:t>
            </w:r>
            <w:r>
              <w:rPr>
                <w:rFonts w:hint="eastAsia"/>
                <w:color w:val="auto"/>
                <w:highlight w:val="none"/>
                <w:lang w:eastAsia="zh-CN"/>
              </w:rPr>
              <w:t>“</w:t>
            </w:r>
            <w:r>
              <w:rPr>
                <w:rFonts w:hint="eastAsia"/>
                <w:color w:val="auto"/>
                <w:highlight w:val="none"/>
              </w:rPr>
              <w:t>▲</w:t>
            </w:r>
            <w:r>
              <w:rPr>
                <w:rFonts w:hint="eastAsia"/>
                <w:color w:val="auto"/>
                <w:highlight w:val="none"/>
                <w:lang w:eastAsia="zh-CN"/>
              </w:rPr>
              <w:t>”号</w:t>
            </w:r>
            <w:r>
              <w:rPr>
                <w:rFonts w:hint="eastAsia"/>
                <w:color w:val="auto"/>
                <w:highlight w:val="none"/>
              </w:rPr>
              <w:t>参数每负偏离一项扣</w:t>
            </w:r>
            <w:r>
              <w:rPr>
                <w:rFonts w:hint="eastAsia"/>
                <w:color w:val="auto"/>
                <w:highlight w:val="none"/>
                <w:lang w:val="en-US" w:eastAsia="zh-CN"/>
              </w:rPr>
              <w:t>6</w:t>
            </w:r>
            <w:r>
              <w:rPr>
                <w:rFonts w:hint="eastAsia"/>
                <w:color w:val="auto"/>
                <w:highlight w:val="none"/>
              </w:rPr>
              <w:t>分，其余一般参数每负偏离一项扣</w:t>
            </w:r>
            <w:r>
              <w:rPr>
                <w:rFonts w:hint="eastAsia"/>
                <w:color w:val="auto"/>
                <w:highlight w:val="none"/>
                <w:lang w:val="en-US" w:eastAsia="zh-CN"/>
              </w:rPr>
              <w:t>3</w:t>
            </w:r>
            <w:r>
              <w:rPr>
                <w:rFonts w:hint="eastAsia"/>
                <w:color w:val="auto"/>
                <w:highlight w:val="none"/>
              </w:rPr>
              <w:t>分，</w:t>
            </w:r>
            <w:r>
              <w:rPr>
                <w:rFonts w:hint="eastAsia"/>
                <w:color w:val="auto"/>
                <w:highlight w:val="none"/>
                <w:lang w:val="en-US" w:eastAsia="zh-CN"/>
              </w:rPr>
              <w:t>扣完为止。</w:t>
            </w:r>
          </w:p>
          <w:p>
            <w:pPr>
              <w:pStyle w:val="29"/>
              <w:rPr>
                <w:color w:val="auto"/>
                <w:highlight w:val="none"/>
              </w:rPr>
            </w:pPr>
            <w:r>
              <w:rPr>
                <w:rFonts w:hint="eastAsia"/>
                <w:color w:val="auto"/>
                <w:highlight w:val="none"/>
              </w:rPr>
              <w:t>注：投标人须按《用户需求书条款响应一览表》中的要求提供相关证明资料，证明资料未提供，或提供的证明资料不清或无法判断的，不得分。</w:t>
            </w:r>
          </w:p>
        </w:tc>
        <w:tc>
          <w:tcPr>
            <w:tcW w:w="837" w:type="dxa"/>
            <w:tcBorders>
              <w:top w:val="single" w:color="auto" w:sz="8" w:space="0"/>
              <w:left w:val="single" w:color="auto" w:sz="8" w:space="0"/>
              <w:bottom w:val="single" w:color="auto" w:sz="8" w:space="0"/>
              <w:right w:val="single" w:color="auto" w:sz="4"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w:t>
            </w:r>
          </w:p>
        </w:tc>
        <w:tc>
          <w:tcPr>
            <w:tcW w:w="775" w:type="dxa"/>
            <w:tcBorders>
              <w:top w:val="single" w:color="auto" w:sz="8" w:space="0"/>
              <w:left w:val="single" w:color="auto" w:sz="4"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kern w:val="0"/>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二</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cs="宋体"/>
                <w:b/>
                <w:color w:val="auto"/>
                <w:szCs w:val="21"/>
                <w:highlight w:val="none"/>
              </w:rPr>
              <w:t>商务部分</w:t>
            </w:r>
            <w:r>
              <w:rPr>
                <w:rFonts w:hint="eastAsia" w:ascii="宋体" w:hAnsi="宋体"/>
                <w:b/>
                <w:color w:val="auto"/>
                <w:szCs w:val="21"/>
                <w:highlight w:val="none"/>
              </w:rPr>
              <w:t>（</w:t>
            </w:r>
            <w:r>
              <w:rPr>
                <w:rFonts w:hint="eastAsia" w:ascii="宋体" w:hAnsi="宋体"/>
                <w:b/>
                <w:color w:val="auto"/>
                <w:szCs w:val="21"/>
                <w:highlight w:val="none"/>
                <w:lang w:val="en-US" w:eastAsia="zh-CN"/>
              </w:rPr>
              <w:t>30</w:t>
            </w:r>
            <w:r>
              <w:rPr>
                <w:rFonts w:hint="eastAsia" w:ascii="宋体" w:hAnsi="宋体"/>
                <w:b/>
                <w:color w:val="auto"/>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1</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免费保修期内售后服务条款偏离情况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（一）免费保修期内售后服务要求</w:t>
            </w:r>
            <w:r>
              <w:rPr>
                <w:szCs w:val="21"/>
              </w:rPr>
              <w:t>》，评审委员会根据响应情况进行打分，全部满足要求的得</w:t>
            </w:r>
            <w:r>
              <w:rPr>
                <w:rFonts w:hint="eastAsia"/>
                <w:szCs w:val="21"/>
                <w:lang w:val="en-US" w:eastAsia="zh-CN"/>
              </w:rPr>
              <w:t>14</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14%</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2</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免费保修期外售后服务条款偏离情况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（二）免费保修期外售后服务要求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2</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7" w:hRule="atLeast"/>
          <w:jc w:val="center"/>
        </w:trPr>
        <w:tc>
          <w:tcPr>
            <w:tcW w:w="799" w:type="dxa"/>
            <w:tcBorders>
              <w:top w:val="single" w:color="auto" w:sz="4" w:space="0"/>
              <w:left w:val="single" w:color="auto" w:sz="8" w:space="0"/>
              <w:bottom w:val="single" w:color="auto" w:sz="8" w:space="0"/>
              <w:right w:val="single" w:color="auto" w:sz="8" w:space="0"/>
            </w:tcBorders>
            <w:vAlign w:val="top"/>
          </w:tcPr>
          <w:p>
            <w:pPr>
              <w:wordWrap w:val="0"/>
              <w:jc w:val="center"/>
              <w:rPr>
                <w:rFonts w:ascii="宋体" w:hAnsi="宋体"/>
                <w:color w:val="auto"/>
                <w:szCs w:val="21"/>
                <w:highlight w:val="none"/>
              </w:rPr>
            </w:pPr>
            <w:r>
              <w:rPr>
                <w:szCs w:val="21"/>
              </w:rPr>
              <w:t>3</w:t>
            </w:r>
          </w:p>
        </w:tc>
        <w:tc>
          <w:tcPr>
            <w:tcW w:w="1355"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s="宋体"/>
                <w:color w:val="auto"/>
                <w:szCs w:val="21"/>
                <w:highlight w:val="none"/>
              </w:rPr>
            </w:pPr>
            <w:r>
              <w:rPr>
                <w:szCs w:val="21"/>
              </w:rPr>
              <w:t>其他商务条款偏离情况</w:t>
            </w:r>
          </w:p>
        </w:tc>
        <w:tc>
          <w:tcPr>
            <w:tcW w:w="5580" w:type="dxa"/>
            <w:tcBorders>
              <w:top w:val="single" w:color="auto" w:sz="8" w:space="0"/>
              <w:left w:val="single" w:color="auto" w:sz="8" w:space="0"/>
              <w:bottom w:val="single" w:color="auto" w:sz="8" w:space="0"/>
              <w:right w:val="single" w:color="auto" w:sz="8" w:space="0"/>
            </w:tcBorders>
            <w:vAlign w:val="top"/>
          </w:tcPr>
          <w:p>
            <w:pPr>
              <w:wordWrap w:val="0"/>
              <w:jc w:val="left"/>
              <w:rPr>
                <w:rFonts w:hint="eastAsia" w:ascii="宋体" w:hAnsi="宋体"/>
                <w:color w:val="auto"/>
                <w:szCs w:val="21"/>
                <w:highlight w:val="none"/>
              </w:rPr>
            </w:pPr>
            <w:r>
              <w:rPr>
                <w:szCs w:val="21"/>
              </w:rPr>
              <w:t>投标人应如实填写《商务要求偏离表</w:t>
            </w:r>
            <w:r>
              <w:rPr>
                <w:rFonts w:hint="eastAsia"/>
                <w:b/>
                <w:color w:val="auto"/>
                <w:highlight w:val="none"/>
              </w:rPr>
              <w:t>（三）其他商务要求</w:t>
            </w:r>
            <w:r>
              <w:rPr>
                <w:szCs w:val="21"/>
              </w:rPr>
              <w:t>》，评审委员会根据响应情况进行打分，全部满足要求的得</w:t>
            </w:r>
            <w:r>
              <w:rPr>
                <w:rFonts w:hint="eastAsia"/>
                <w:szCs w:val="21"/>
                <w:lang w:val="en-US" w:eastAsia="zh-CN"/>
              </w:rPr>
              <w:t>8</w:t>
            </w:r>
            <w:r>
              <w:rPr>
                <w:szCs w:val="21"/>
              </w:rPr>
              <w:t>分，每负偏离一项扣</w:t>
            </w:r>
            <w:r>
              <w:rPr>
                <w:rFonts w:hint="eastAsia"/>
                <w:szCs w:val="21"/>
                <w:lang w:val="en-US" w:eastAsia="zh-CN"/>
              </w:rPr>
              <w:t>1</w:t>
            </w:r>
            <w:r>
              <w:rPr>
                <w:szCs w:val="21"/>
              </w:rPr>
              <w:t>分。</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799" w:type="dxa"/>
            <w:tcBorders>
              <w:top w:val="single" w:color="auto" w:sz="4" w:space="0"/>
              <w:left w:val="single" w:color="auto" w:sz="8" w:space="0"/>
              <w:bottom w:val="single" w:color="auto" w:sz="8" w:space="0"/>
              <w:right w:val="single" w:color="auto" w:sz="8"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三</w:t>
            </w:r>
          </w:p>
        </w:tc>
        <w:tc>
          <w:tcPr>
            <w:tcW w:w="8547" w:type="dxa"/>
            <w:gridSpan w:val="4"/>
            <w:tcBorders>
              <w:top w:val="single" w:color="auto" w:sz="8" w:space="0"/>
              <w:left w:val="single" w:color="auto" w:sz="8" w:space="0"/>
              <w:bottom w:val="single" w:color="auto" w:sz="8" w:space="0"/>
              <w:right w:val="single" w:color="auto" w:sz="8" w:space="0"/>
            </w:tcBorders>
            <w:vAlign w:val="center"/>
          </w:tcPr>
          <w:p>
            <w:pPr>
              <w:spacing w:line="360" w:lineRule="auto"/>
              <w:ind w:left="-78" w:leftChars="-37" w:right="-73" w:rightChars="-35"/>
              <w:jc w:val="center"/>
              <w:rPr>
                <w:rFonts w:ascii="宋体" w:hAnsi="宋体" w:cs="宋体"/>
                <w:b/>
                <w:color w:val="auto"/>
                <w:szCs w:val="21"/>
                <w:highlight w:val="none"/>
              </w:rPr>
            </w:pPr>
            <w:r>
              <w:rPr>
                <w:rFonts w:hint="eastAsia" w:ascii="宋体" w:hAnsi="宋体"/>
                <w:b/>
                <w:color w:val="auto"/>
                <w:szCs w:val="21"/>
                <w:highlight w:val="none"/>
              </w:rPr>
              <w:t>价格部分（30分）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799"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355"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tc>
        <w:tc>
          <w:tcPr>
            <w:tcW w:w="55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价格分应当采用低价优先法计算，即满足招标文件要求且投标价格最低的投标报价为评标基准价，其价格分为满分。其他投标人的价格分统一按照下列公式计算：</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投标报价得分=(评标基准价／投标报价)×100×权重</w:t>
            </w:r>
          </w:p>
          <w:p>
            <w:pPr>
              <w:widowControl/>
              <w:jc w:val="left"/>
              <w:rPr>
                <w:rFonts w:ascii="宋体" w:hAnsi="宋体"/>
                <w:bCs/>
                <w:color w:val="auto"/>
                <w:szCs w:val="21"/>
                <w:highlight w:val="none"/>
              </w:rPr>
            </w:pPr>
            <w:r>
              <w:rPr>
                <w:rFonts w:hint="eastAsia" w:ascii="宋体" w:hAnsi="宋体"/>
                <w:bCs/>
                <w:color w:val="auto"/>
                <w:szCs w:val="21"/>
                <w:highlight w:val="none"/>
              </w:rPr>
              <w:t>备注：1、投标报价得分四舍五入后，小数点后保留两位有效数。</w:t>
            </w:r>
          </w:p>
        </w:tc>
        <w:tc>
          <w:tcPr>
            <w:tcW w:w="837" w:type="dxa"/>
            <w:tcBorders>
              <w:top w:val="single" w:color="auto" w:sz="8" w:space="0"/>
              <w:left w:val="single" w:color="auto" w:sz="8" w:space="0"/>
              <w:bottom w:val="single" w:color="auto" w:sz="8" w:space="0"/>
              <w:right w:val="single" w:color="auto" w:sz="4"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s="宋体"/>
                <w:color w:val="auto"/>
                <w:szCs w:val="21"/>
                <w:highlight w:val="none"/>
              </w:rPr>
              <w:t xml:space="preserve">30% </w:t>
            </w:r>
          </w:p>
        </w:tc>
        <w:tc>
          <w:tcPr>
            <w:tcW w:w="775" w:type="dxa"/>
            <w:tcBorders>
              <w:top w:val="single" w:color="auto" w:sz="8" w:space="0"/>
              <w:left w:val="single" w:color="auto" w:sz="4" w:space="0"/>
              <w:bottom w:val="single" w:color="auto" w:sz="8" w:space="0"/>
              <w:right w:val="single" w:color="auto" w:sz="8" w:space="0"/>
            </w:tcBorders>
            <w:vAlign w:val="center"/>
          </w:tcPr>
          <w:p>
            <w:pPr>
              <w:ind w:left="-78" w:leftChars="-37" w:right="-73" w:rightChars="-35"/>
              <w:jc w:val="center"/>
              <w:rPr>
                <w:rFonts w:ascii="宋体" w:hAnsi="宋体" w:cs="宋体"/>
                <w:color w:val="auto"/>
                <w:szCs w:val="21"/>
                <w:highlight w:val="none"/>
              </w:rPr>
            </w:pPr>
            <w:r>
              <w:rPr>
                <w:rFonts w:hint="eastAsia" w:ascii="宋体" w:hAnsi="宋体"/>
                <w:color w:val="auto"/>
                <w:szCs w:val="21"/>
                <w:highlight w:val="none"/>
              </w:rPr>
              <w:t>30分</w:t>
            </w:r>
          </w:p>
        </w:tc>
      </w:tr>
    </w:tbl>
    <w:p>
      <w:pPr>
        <w:tabs>
          <w:tab w:val="left" w:pos="1260"/>
        </w:tabs>
        <w:spacing w:line="400" w:lineRule="exact"/>
        <w:rPr>
          <w:bCs/>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wis721 LtCn BT">
    <w:altName w:val="Yu Gothic UI Semilight"/>
    <w:panose1 w:val="020B0406020202030204"/>
    <w:charset w:val="00"/>
    <w:family w:val="swiss"/>
    <w:pitch w:val="default"/>
    <w:sig w:usb0="00000000" w:usb1="00000000" w:usb2="00000000" w:usb3="00000000" w:csb0="0000001B" w:csb1="00000000"/>
  </w:font>
  <w:font w:name="Yu Gothic UI Semilight">
    <w:panose1 w:val="020B04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1"/>
    </w:sdtPr>
    <w:sdtContent>
      <w:p>
        <w:pPr>
          <w:pStyle w:val="34"/>
          <w:jc w:val="right"/>
        </w:pPr>
        <w:r>
          <w:fldChar w:fldCharType="begin"/>
        </w:r>
        <w:r>
          <w:instrText xml:space="preserve"> PAGE   \* MERGEFORMAT </w:instrText>
        </w:r>
        <w:r>
          <w:fldChar w:fldCharType="separate"/>
        </w:r>
        <w:r>
          <w:rPr>
            <w:lang w:val="zh-CN"/>
          </w:rPr>
          <w:t>5</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392"/>
    </w:sdtPr>
    <w:sdtContent>
      <w:p>
        <w:pPr>
          <w:pStyle w:val="34"/>
        </w:pPr>
        <w:r>
          <w:fldChar w:fldCharType="begin"/>
        </w:r>
        <w:r>
          <w:instrText xml:space="preserve"> PAGE   \* MERGEFORMAT </w:instrText>
        </w:r>
        <w:r>
          <w:fldChar w:fldCharType="separate"/>
        </w:r>
        <w:r>
          <w:rPr>
            <w:lang w:val="zh-CN"/>
          </w:rPr>
          <w:t>4</w:t>
        </w:r>
        <w:r>
          <w:rPr>
            <w:lang w:val="zh-CN"/>
          </w:rPr>
          <w:fldChar w:fldCharType="end"/>
        </w:r>
      </w:p>
    </w:sdtContent>
  </w:sdt>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66C7D"/>
    <w:multiLevelType w:val="singleLevel"/>
    <w:tmpl w:val="99A66C7D"/>
    <w:lvl w:ilvl="0" w:tentative="0">
      <w:start w:val="1"/>
      <w:numFmt w:val="decimal"/>
      <w:suff w:val="nothing"/>
      <w:lvlText w:val="%1、"/>
      <w:lvlJc w:val="left"/>
    </w:lvl>
  </w:abstractNum>
  <w:abstractNum w:abstractNumId="1">
    <w:nsid w:val="E32F8E75"/>
    <w:multiLevelType w:val="singleLevel"/>
    <w:tmpl w:val="E32F8E75"/>
    <w:lvl w:ilvl="0" w:tentative="0">
      <w:start w:val="7"/>
      <w:numFmt w:val="chineseCounting"/>
      <w:suff w:val="nothing"/>
      <w:lvlText w:val="%1．"/>
      <w:lvlJc w:val="left"/>
      <w:rPr>
        <w:rFonts w:hint="eastAsia"/>
      </w:rPr>
    </w:lvl>
  </w:abstractNum>
  <w:abstractNum w:abstractNumId="2">
    <w:nsid w:val="2F000000"/>
    <w:multiLevelType w:val="multilevel"/>
    <w:tmpl w:val="2F000000"/>
    <w:lvl w:ilvl="0" w:tentative="0">
      <w:start w:val="3"/>
      <w:numFmt w:val="decimal"/>
      <w:lvlText w:val="%1、"/>
      <w:lvlJc w:val="left"/>
      <w:pPr>
        <w:ind w:left="360" w:hanging="360"/>
      </w:pPr>
      <w:rPr>
        <w:rFonts w:ascii="宋体" w:hAnsi="宋体" w:eastAsia="宋体" w:cstheme="minorBidi"/>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000001"/>
    <w:multiLevelType w:val="multilevel"/>
    <w:tmpl w:val="2F000001"/>
    <w:lvl w:ilvl="0" w:tentative="0">
      <w:start w:val="11"/>
      <w:numFmt w:val="decimal"/>
      <w:suff w:val="nothing"/>
      <w:lvlText w:val="%1、"/>
      <w:lvlJc w:val="left"/>
    </w:lvl>
    <w:lvl w:ilvl="1" w:tentative="0">
      <w:start w:val="11"/>
      <w:numFmt w:val="decimal"/>
      <w:suff w:val="nothing"/>
      <w:lvlText w:val="%1、"/>
      <w:lvlJc w:val="left"/>
    </w:lvl>
    <w:lvl w:ilvl="2" w:tentative="0">
      <w:start w:val="11"/>
      <w:numFmt w:val="decimal"/>
      <w:suff w:val="nothing"/>
      <w:lvlText w:val="%1、"/>
      <w:lvlJc w:val="left"/>
    </w:lvl>
    <w:lvl w:ilvl="3" w:tentative="0">
      <w:start w:val="11"/>
      <w:numFmt w:val="decimal"/>
      <w:suff w:val="nothing"/>
      <w:lvlText w:val="%1、"/>
      <w:lvlJc w:val="left"/>
    </w:lvl>
    <w:lvl w:ilvl="4" w:tentative="0">
      <w:start w:val="11"/>
      <w:numFmt w:val="decimal"/>
      <w:suff w:val="nothing"/>
      <w:lvlText w:val="%1、"/>
      <w:lvlJc w:val="left"/>
    </w:lvl>
    <w:lvl w:ilvl="5" w:tentative="0">
      <w:start w:val="11"/>
      <w:numFmt w:val="decimal"/>
      <w:suff w:val="nothing"/>
      <w:lvlText w:val="%1、"/>
      <w:lvlJc w:val="left"/>
    </w:lvl>
    <w:lvl w:ilvl="6" w:tentative="0">
      <w:start w:val="11"/>
      <w:numFmt w:val="decimal"/>
      <w:suff w:val="nothing"/>
      <w:lvlText w:val="%1、"/>
      <w:lvlJc w:val="left"/>
    </w:lvl>
    <w:lvl w:ilvl="7" w:tentative="0">
      <w:start w:val="11"/>
      <w:numFmt w:val="decimal"/>
      <w:suff w:val="nothing"/>
      <w:lvlText w:val="%1、"/>
      <w:lvlJc w:val="left"/>
    </w:lvl>
    <w:lvl w:ilvl="8" w:tentative="0">
      <w:start w:val="11"/>
      <w:numFmt w:val="decimal"/>
      <w:suff w:val="nothing"/>
      <w:lvlText w:val="%1、"/>
      <w:lvlJc w:val="left"/>
    </w:lvl>
  </w:abstractNum>
  <w:abstractNum w:abstractNumId="4">
    <w:nsid w:val="6660C6ED"/>
    <w:multiLevelType w:val="singleLevel"/>
    <w:tmpl w:val="6660C6ED"/>
    <w:lvl w:ilvl="0" w:tentative="0">
      <w:start w:val="3"/>
      <w:numFmt w:val="chineseCounting"/>
      <w:suff w:val="nothing"/>
      <w:lvlText w:val="%1、"/>
      <w:lvlJc w:val="left"/>
      <w:rPr>
        <w:rFonts w:hint="eastAsia"/>
      </w:rPr>
    </w:lvl>
  </w:abstractNum>
  <w:abstractNum w:abstractNumId="5">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3"/>
  </w:num>
  <w:num w:numId="4">
    <w:abstractNumId w:val="0"/>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96443"/>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0959"/>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83"/>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2F46"/>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24D"/>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57741"/>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B652A"/>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3964"/>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9FC"/>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5EA8"/>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910"/>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50D3"/>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0B5E"/>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0379"/>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5CAC"/>
    <w:rsid w:val="00696B10"/>
    <w:rsid w:val="006A2CE1"/>
    <w:rsid w:val="006A3EE1"/>
    <w:rsid w:val="006A4D27"/>
    <w:rsid w:val="006A5DFD"/>
    <w:rsid w:val="006B1B04"/>
    <w:rsid w:val="006B1C87"/>
    <w:rsid w:val="006B1E8E"/>
    <w:rsid w:val="006B1F90"/>
    <w:rsid w:val="006B2551"/>
    <w:rsid w:val="006B2E90"/>
    <w:rsid w:val="006B40F0"/>
    <w:rsid w:val="006B4FAB"/>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758"/>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1856"/>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A7B"/>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96B9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C7135"/>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83E"/>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3E33"/>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139"/>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1F4"/>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D63"/>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29B5"/>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3483"/>
    <w:rsid w:val="00AD43A2"/>
    <w:rsid w:val="00AD4955"/>
    <w:rsid w:val="00AD54C4"/>
    <w:rsid w:val="00AD72AF"/>
    <w:rsid w:val="00AD7676"/>
    <w:rsid w:val="00AE2C3B"/>
    <w:rsid w:val="00AE592E"/>
    <w:rsid w:val="00AE6AC6"/>
    <w:rsid w:val="00AE6F65"/>
    <w:rsid w:val="00AF1179"/>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3C07"/>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1EE"/>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4F58"/>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687F"/>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723"/>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57A7"/>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3AF"/>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2A31"/>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1C69"/>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547"/>
    <w:rsid w:val="00E309FE"/>
    <w:rsid w:val="00E30AA7"/>
    <w:rsid w:val="00E3153A"/>
    <w:rsid w:val="00E3601B"/>
    <w:rsid w:val="00E3783A"/>
    <w:rsid w:val="00E37A9C"/>
    <w:rsid w:val="00E37F21"/>
    <w:rsid w:val="00E407C6"/>
    <w:rsid w:val="00E41DF3"/>
    <w:rsid w:val="00E42F4E"/>
    <w:rsid w:val="00E4335D"/>
    <w:rsid w:val="00E4340B"/>
    <w:rsid w:val="00E47387"/>
    <w:rsid w:val="00E51743"/>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A69"/>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0E2"/>
    <w:rsid w:val="00EF121A"/>
    <w:rsid w:val="00EF2948"/>
    <w:rsid w:val="00EF2E45"/>
    <w:rsid w:val="00EF4E9B"/>
    <w:rsid w:val="00EF4F65"/>
    <w:rsid w:val="00EF6069"/>
    <w:rsid w:val="00EF6455"/>
    <w:rsid w:val="00EF6CB4"/>
    <w:rsid w:val="00EF70E1"/>
    <w:rsid w:val="00F010E4"/>
    <w:rsid w:val="00F028F5"/>
    <w:rsid w:val="00F0321F"/>
    <w:rsid w:val="00F062BD"/>
    <w:rsid w:val="00F06843"/>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4615"/>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32F3C88"/>
    <w:rsid w:val="09FE7641"/>
    <w:rsid w:val="0AD31734"/>
    <w:rsid w:val="0FB06823"/>
    <w:rsid w:val="13AB1E25"/>
    <w:rsid w:val="13BE4524"/>
    <w:rsid w:val="149A5357"/>
    <w:rsid w:val="1A180936"/>
    <w:rsid w:val="1A807061"/>
    <w:rsid w:val="1D2B2FE6"/>
    <w:rsid w:val="20C13A8E"/>
    <w:rsid w:val="21A73358"/>
    <w:rsid w:val="2F67542B"/>
    <w:rsid w:val="31BF3637"/>
    <w:rsid w:val="36184D2E"/>
    <w:rsid w:val="36737028"/>
    <w:rsid w:val="381348E5"/>
    <w:rsid w:val="3AA71358"/>
    <w:rsid w:val="3ACD1190"/>
    <w:rsid w:val="3BEB050A"/>
    <w:rsid w:val="452308D7"/>
    <w:rsid w:val="4A841C8E"/>
    <w:rsid w:val="4E7C753F"/>
    <w:rsid w:val="505134AB"/>
    <w:rsid w:val="51EA72D5"/>
    <w:rsid w:val="5279537C"/>
    <w:rsid w:val="52B9434F"/>
    <w:rsid w:val="54863D9F"/>
    <w:rsid w:val="54DE7D2D"/>
    <w:rsid w:val="552E4C16"/>
    <w:rsid w:val="56450116"/>
    <w:rsid w:val="57E55E07"/>
    <w:rsid w:val="598E0A22"/>
    <w:rsid w:val="5D6B104C"/>
    <w:rsid w:val="5EB631EE"/>
    <w:rsid w:val="5EBA1DB1"/>
    <w:rsid w:val="6010702F"/>
    <w:rsid w:val="61077277"/>
    <w:rsid w:val="61202D75"/>
    <w:rsid w:val="631753EB"/>
    <w:rsid w:val="6405305E"/>
    <w:rsid w:val="65147B6C"/>
    <w:rsid w:val="6C9705C3"/>
    <w:rsid w:val="6CC81DB0"/>
    <w:rsid w:val="6E887300"/>
    <w:rsid w:val="6F0027AD"/>
    <w:rsid w:val="6F743592"/>
    <w:rsid w:val="71585AAE"/>
    <w:rsid w:val="74ED1560"/>
    <w:rsid w:val="79A27B84"/>
    <w:rsid w:val="7AFD4038"/>
    <w:rsid w:val="7ED75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0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6">
    <w:name w:val="heading 2"/>
    <w:basedOn w:val="4"/>
    <w:next w:val="5"/>
    <w:link w:val="118"/>
    <w:qFormat/>
    <w:uiPriority w:val="9"/>
    <w:pPr>
      <w:adjustRightInd w:val="0"/>
      <w:jc w:val="center"/>
      <w:textAlignment w:val="baseline"/>
      <w:outlineLvl w:val="1"/>
    </w:pPr>
    <w:rPr>
      <w:kern w:val="0"/>
      <w:sz w:val="24"/>
      <w:szCs w:val="20"/>
    </w:rPr>
  </w:style>
  <w:style w:type="paragraph" w:styleId="4">
    <w:name w:val="heading 3"/>
    <w:basedOn w:val="5"/>
    <w:next w:val="1"/>
    <w:link w:val="86"/>
    <w:qFormat/>
    <w:uiPriority w:val="0"/>
    <w:pPr>
      <w:spacing w:before="260" w:after="260" w:line="240" w:lineRule="auto"/>
      <w:outlineLvl w:val="2"/>
    </w:pPr>
    <w:rPr>
      <w:rFonts w:ascii="宋体" w:hAnsi="宋体" w:eastAsia="宋体"/>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26"/>
    <w:qFormat/>
    <w:uiPriority w:val="0"/>
    <w:pPr>
      <w:keepNext/>
      <w:keepLines/>
      <w:spacing w:before="280" w:after="290" w:line="376" w:lineRule="auto"/>
      <w:jc w:val="center"/>
      <w:outlineLvl w:val="4"/>
    </w:pPr>
    <w:rPr>
      <w:b/>
      <w:sz w:val="28"/>
      <w:szCs w:val="20"/>
    </w:rPr>
  </w:style>
  <w:style w:type="paragraph" w:styleId="8">
    <w:name w:val="heading 6"/>
    <w:basedOn w:val="1"/>
    <w:next w:val="2"/>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128"/>
    <w:qFormat/>
    <w:uiPriority w:val="0"/>
    <w:pPr>
      <w:keepNext/>
      <w:keepLines/>
      <w:spacing w:before="240" w:after="64" w:line="320" w:lineRule="auto"/>
      <w:outlineLvl w:val="6"/>
    </w:pPr>
    <w:rPr>
      <w:b/>
      <w:sz w:val="24"/>
      <w:szCs w:val="20"/>
    </w:rPr>
  </w:style>
  <w:style w:type="paragraph" w:styleId="10">
    <w:name w:val="heading 8"/>
    <w:basedOn w:val="1"/>
    <w:next w:val="2"/>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semiHidden/>
    <w:qFormat/>
    <w:uiPriority w:val="0"/>
    <w:pPr>
      <w:shd w:val="clear" w:color="auto" w:fill="000080"/>
    </w:pPr>
  </w:style>
  <w:style w:type="paragraph" w:styleId="17">
    <w:name w:val="toa heading"/>
    <w:basedOn w:val="1"/>
    <w:next w:val="1"/>
    <w:semiHidden/>
    <w:qFormat/>
    <w:uiPriority w:val="0"/>
    <w:pPr>
      <w:spacing w:before="120"/>
    </w:pPr>
    <w:rPr>
      <w:rFonts w:ascii="Arial" w:hAnsi="Arial" w:cs="Arial"/>
      <w:sz w:val="24"/>
    </w:rPr>
  </w:style>
  <w:style w:type="paragraph" w:styleId="18">
    <w:name w:val="annotation text"/>
    <w:basedOn w:val="1"/>
    <w:link w:val="119"/>
    <w:semiHidden/>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next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semiHidden/>
    <w:qFormat/>
    <w:uiPriority w:val="0"/>
    <w:pPr>
      <w:ind w:left="840"/>
      <w:jc w:val="left"/>
    </w:pPr>
    <w:rPr>
      <w:szCs w:val="21"/>
    </w:rPr>
  </w:style>
  <w:style w:type="paragraph" w:styleId="28">
    <w:name w:val="toc 3"/>
    <w:basedOn w:val="1"/>
    <w:next w:val="1"/>
    <w:semiHidden/>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semiHidden/>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unhideWhenUsed/>
    <w:qFormat/>
    <w:uiPriority w:val="0"/>
    <w:pPr>
      <w:tabs>
        <w:tab w:val="center" w:pos="4153"/>
        <w:tab w:val="right" w:pos="8306"/>
      </w:tabs>
      <w:snapToGrid w:val="0"/>
      <w:jc w:val="left"/>
    </w:pPr>
    <w:rPr>
      <w:sz w:val="18"/>
      <w:szCs w:val="18"/>
    </w:rPr>
  </w:style>
  <w:style w:type="paragraph" w:styleId="35">
    <w:name w:val="header"/>
    <w:basedOn w:val="1"/>
    <w:link w:val="90"/>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semiHidden/>
    <w:qFormat/>
    <w:uiPriority w:val="0"/>
    <w:pPr>
      <w:spacing w:before="120" w:after="120"/>
      <w:jc w:val="left"/>
    </w:pPr>
    <w:rPr>
      <w:b/>
      <w:bCs/>
      <w:caps/>
    </w:rPr>
  </w:style>
  <w:style w:type="paragraph" w:styleId="37">
    <w:name w:val="toc 4"/>
    <w:basedOn w:val="1"/>
    <w:next w:val="1"/>
    <w:semiHidden/>
    <w:qFormat/>
    <w:uiPriority w:val="0"/>
    <w:pPr>
      <w:ind w:left="630"/>
      <w:jc w:val="left"/>
    </w:pPr>
    <w:rPr>
      <w:szCs w:val="21"/>
    </w:rPr>
  </w:style>
  <w:style w:type="paragraph" w:styleId="38">
    <w:name w:val="index heading"/>
    <w:basedOn w:val="1"/>
    <w:next w:val="39"/>
    <w:semiHidden/>
    <w:qFormat/>
    <w:uiPriority w:val="0"/>
    <w:rPr>
      <w:szCs w:val="20"/>
    </w:rPr>
  </w:style>
  <w:style w:type="paragraph" w:styleId="39">
    <w:name w:val="index 1"/>
    <w:basedOn w:val="1"/>
    <w:next w:val="1"/>
    <w:semiHidden/>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semiHidden/>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semiHidden/>
    <w:qFormat/>
    <w:uiPriority w:val="0"/>
    <w:pPr>
      <w:ind w:left="840" w:leftChars="200" w:hanging="420" w:hangingChars="200"/>
    </w:pPr>
  </w:style>
  <w:style w:type="paragraph" w:styleId="45">
    <w:name w:val="toc 2"/>
    <w:basedOn w:val="1"/>
    <w:next w:val="1"/>
    <w:semiHidden/>
    <w:qFormat/>
    <w:uiPriority w:val="0"/>
    <w:pPr>
      <w:tabs>
        <w:tab w:val="right" w:leader="dot" w:pos="8296"/>
      </w:tabs>
      <w:ind w:left="210"/>
      <w:jc w:val="left"/>
    </w:pPr>
    <w:rPr>
      <w:smallCaps/>
    </w:rPr>
  </w:style>
  <w:style w:type="paragraph" w:styleId="46">
    <w:name w:val="toc 9"/>
    <w:basedOn w:val="1"/>
    <w:next w:val="1"/>
    <w:semiHidden/>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Char"/>
    <w:basedOn w:val="56"/>
    <w:link w:val="47"/>
    <w:qFormat/>
    <w:uiPriority w:val="0"/>
    <w:rPr>
      <w:rFonts w:ascii="Times New Roman" w:hAnsi="Times New Roman" w:eastAsia="宋体" w:cs="Times New Roman"/>
      <w:sz w:val="24"/>
      <w:szCs w:val="24"/>
    </w:rPr>
  </w:style>
  <w:style w:type="character" w:customStyle="1" w:styleId="65">
    <w:name w:val="文档结构图 Char"/>
    <w:basedOn w:val="56"/>
    <w:link w:val="16"/>
    <w:semiHidden/>
    <w:qFormat/>
    <w:uiPriority w:val="0"/>
    <w:rPr>
      <w:rFonts w:ascii="Times New Roman" w:hAnsi="Times New Roman" w:eastAsia="宋体" w:cs="Times New Roman"/>
      <w:szCs w:val="24"/>
      <w:shd w:val="clear" w:color="auto" w:fill="000080"/>
    </w:rPr>
  </w:style>
  <w:style w:type="character" w:customStyle="1" w:styleId="66">
    <w:name w:val="正文文本 3 Char"/>
    <w:basedOn w:val="56"/>
    <w:link w:val="20"/>
    <w:qFormat/>
    <w:uiPriority w:val="0"/>
    <w:rPr>
      <w:rFonts w:ascii="Times New Roman" w:hAnsi="Times New Roman" w:eastAsia="宋体" w:cs="Times New Roman"/>
      <w:sz w:val="16"/>
      <w:szCs w:val="16"/>
    </w:rPr>
  </w:style>
  <w:style w:type="character" w:customStyle="1" w:styleId="67">
    <w:name w:val="正文文本缩进 Char"/>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locked/>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Char"/>
    <w:basedOn w:val="56"/>
    <w:link w:val="19"/>
    <w:qFormat/>
    <w:uiPriority w:val="0"/>
    <w:rPr>
      <w:rFonts w:ascii="Arial" w:hAnsi="Arial" w:eastAsia="宋体" w:cs="Times New Roman"/>
      <w:kern w:val="0"/>
      <w:sz w:val="24"/>
      <w:szCs w:val="20"/>
    </w:rPr>
  </w:style>
  <w:style w:type="character" w:customStyle="1" w:styleId="73">
    <w:name w:val="HTML 预设格式 Char"/>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Char"/>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Char"/>
    <w:basedOn w:val="56"/>
    <w:link w:val="5"/>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Char"/>
    <w:basedOn w:val="56"/>
    <w:link w:val="51"/>
    <w:qFormat/>
    <w:uiPriority w:val="0"/>
    <w:rPr>
      <w:rFonts w:ascii="Arial" w:hAnsi="Arial" w:eastAsia="宋体" w:cs="Arial"/>
      <w:b/>
      <w:bCs/>
      <w:sz w:val="30"/>
      <w:szCs w:val="32"/>
    </w:rPr>
  </w:style>
  <w:style w:type="character" w:customStyle="1" w:styleId="82">
    <w:name w:val="标题 8 Char"/>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Char"/>
    <w:basedOn w:val="56"/>
    <w:link w:val="21"/>
    <w:qFormat/>
    <w:uiPriority w:val="0"/>
    <w:rPr>
      <w:rFonts w:ascii="Times New Roman" w:hAnsi="Times New Roman" w:eastAsia="宋体" w:cs="Times New Roman"/>
      <w:b/>
      <w:bCs/>
      <w:sz w:val="24"/>
      <w:szCs w:val="24"/>
    </w:rPr>
  </w:style>
  <w:style w:type="character" w:customStyle="1" w:styleId="85">
    <w:name w:val="正文缩进 Char"/>
    <w:basedOn w:val="56"/>
    <w:link w:val="2"/>
    <w:qFormat/>
    <w:uiPriority w:val="0"/>
    <w:rPr>
      <w:rFonts w:ascii="Times New Roman" w:hAnsi="Times New Roman" w:eastAsia="宋体" w:cs="Times New Roman"/>
      <w:szCs w:val="20"/>
    </w:rPr>
  </w:style>
  <w:style w:type="character" w:customStyle="1" w:styleId="86">
    <w:name w:val="标题 3 Char1"/>
    <w:basedOn w:val="77"/>
    <w:link w:val="4"/>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Char"/>
    <w:basedOn w:val="56"/>
    <w:link w:val="35"/>
    <w:qFormat/>
    <w:uiPriority w:val="0"/>
    <w:rPr>
      <w:sz w:val="18"/>
      <w:szCs w:val="18"/>
    </w:rPr>
  </w:style>
  <w:style w:type="character" w:customStyle="1" w:styleId="91">
    <w:name w:val="标题 6 Char"/>
    <w:basedOn w:val="56"/>
    <w:link w:val="8"/>
    <w:qFormat/>
    <w:uiPriority w:val="0"/>
    <w:rPr>
      <w:rFonts w:ascii="Arial" w:hAnsi="Arial" w:eastAsia="黑体" w:cs="Times New Roman"/>
      <w:b/>
      <w:sz w:val="24"/>
      <w:szCs w:val="20"/>
    </w:rPr>
  </w:style>
  <w:style w:type="character" w:customStyle="1" w:styleId="92">
    <w:name w:val="日期 Char"/>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Char"/>
    <w:basedOn w:val="56"/>
    <w:link w:val="3"/>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Char"/>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Char"/>
    <w:basedOn w:val="84"/>
    <w:link w:val="53"/>
    <w:qFormat/>
    <w:uiPriority w:val="0"/>
    <w:rPr>
      <w:rFonts w:ascii="Times New Roman" w:hAnsi="Times New Roman" w:eastAsia="宋体" w:cs="Times New Roman"/>
      <w:sz w:val="24"/>
      <w:szCs w:val="24"/>
    </w:rPr>
  </w:style>
  <w:style w:type="character" w:customStyle="1" w:styleId="117">
    <w:name w:val="正文文本缩进 2 Char"/>
    <w:basedOn w:val="56"/>
    <w:link w:val="32"/>
    <w:qFormat/>
    <w:uiPriority w:val="0"/>
    <w:rPr>
      <w:rFonts w:ascii="宋体" w:hAnsi="宋体" w:eastAsia="宋体" w:cs="Times New Roman"/>
      <w:szCs w:val="24"/>
    </w:rPr>
  </w:style>
  <w:style w:type="character" w:customStyle="1" w:styleId="118">
    <w:name w:val="标题 2 Char"/>
    <w:basedOn w:val="56"/>
    <w:link w:val="6"/>
    <w:qFormat/>
    <w:uiPriority w:val="9"/>
    <w:rPr>
      <w:rFonts w:ascii="宋体" w:hAnsi="宋体" w:eastAsia="宋体" w:cs="Times New Roman"/>
      <w:b/>
      <w:bCs/>
      <w:kern w:val="0"/>
      <w:sz w:val="24"/>
      <w:szCs w:val="20"/>
    </w:rPr>
  </w:style>
  <w:style w:type="character" w:customStyle="1" w:styleId="119">
    <w:name w:val="批注文字 Char"/>
    <w:basedOn w:val="56"/>
    <w:link w:val="18"/>
    <w:semiHidden/>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Char"/>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Char"/>
    <w:basedOn w:val="56"/>
    <w:link w:val="7"/>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Char"/>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Char"/>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Char"/>
    <w:basedOn w:val="119"/>
    <w:link w:val="52"/>
    <w:qFormat/>
    <w:uiPriority w:val="0"/>
    <w:rPr>
      <w:rFonts w:ascii="Times New Roman" w:hAnsi="Times New Roman" w:eastAsia="宋体" w:cs="Times New Roman"/>
      <w:b/>
      <w:bCs/>
      <w:kern w:val="0"/>
      <w:sz w:val="34"/>
      <w:szCs w:val="24"/>
    </w:rPr>
  </w:style>
  <w:style w:type="character" w:customStyle="1" w:styleId="134">
    <w:name w:val="纯文本 Char"/>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4"/>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Char"/>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5"/>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3"/>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4"/>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2"/>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3"/>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7"/>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2"/>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4"/>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6"/>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spacing w:beforeLines="0" w:afterLines="0"/>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6"/>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7"/>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unhideWhenUsed/>
    <w:qFormat/>
    <w:uiPriority w:val="99"/>
    <w:pPr>
      <w:ind w:firstLine="420" w:firstLineChars="200"/>
    </w:pPr>
  </w:style>
  <w:style w:type="paragraph" w:customStyle="1" w:styleId="304">
    <w:name w:val="Revision"/>
    <w:hidden/>
    <w:unhideWhenUse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unhideWhenUsed/>
    <w:qFormat/>
    <w:uiPriority w:val="99"/>
    <w:rPr>
      <w:color w:val="808080"/>
    </w:rPr>
  </w:style>
  <w:style w:type="character" w:customStyle="1" w:styleId="306">
    <w:name w:val="NormalCharacter"/>
    <w:link w:val="1"/>
    <w:semiHidden/>
    <w:qFormat/>
    <w:uiPriority w:val="151"/>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E9366-D48D-4496-B697-3E5E23DA02B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577</Words>
  <Characters>3293</Characters>
  <Lines>27</Lines>
  <Paragraphs>7</Paragraphs>
  <TotalTime>5</TotalTime>
  <ScaleCrop>false</ScaleCrop>
  <LinksUpToDate>false</LinksUpToDate>
  <CharactersWithSpaces>3863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2021-01-09T01:28:00Z</dcterms:created>
  <dc:creator>Chinese User</dc:creator>
  <cp:lastModifiedBy>TIGER</cp:lastModifiedBy>
  <cp:lastPrinted>2018-09-27T02:41:00Z</cp:lastPrinted>
  <dcterms:modified xsi:type="dcterms:W3CDTF">2021-12-01T03:07:08Z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B55F7B6BF7EE4FB5AD377DD90FD6016C</vt:lpwstr>
  </property>
</Properties>
</file>