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307630" w:rsidRDefault="00000691" w:rsidP="00307630">
      <w:pPr>
        <w:pStyle w:val="aff7"/>
        <w:spacing w:before="454" w:after="113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C2504C" w:rsidRPr="00C2504C">
        <w:rPr>
          <w:rFonts w:ascii="宋体" w:hAnsi="宋体" w:cs="宋体" w:hint="eastAsia"/>
          <w:b/>
          <w:sz w:val="28"/>
          <w:szCs w:val="28"/>
        </w:rPr>
        <w:t>血糖试纸</w:t>
      </w:r>
      <w:r w:rsidR="00861A19">
        <w:rPr>
          <w:rFonts w:ascii="宋体" w:hAnsi="宋体" w:cs="宋体" w:hint="eastAsia"/>
          <w:b/>
          <w:sz w:val="28"/>
          <w:szCs w:val="28"/>
        </w:rPr>
        <w:t>招标要求</w:t>
      </w:r>
    </w:p>
    <w:bookmarkEnd w:id="0"/>
    <w:p w:rsidR="00C64037" w:rsidRPr="00F8334C" w:rsidRDefault="00307630"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307630"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C2504C" w:rsidTr="00C114FC">
        <w:trPr>
          <w:trHeight w:val="20"/>
          <w:jc w:val="center"/>
        </w:trPr>
        <w:tc>
          <w:tcPr>
            <w:tcW w:w="851" w:type="dxa"/>
            <w:vAlign w:val="center"/>
          </w:tcPr>
          <w:p w:rsidR="00C2504C" w:rsidRDefault="00C2504C" w:rsidP="00A24762">
            <w:pPr>
              <w:jc w:val="center"/>
            </w:pPr>
            <w:r>
              <w:rPr>
                <w:rFonts w:hint="eastAsia"/>
              </w:rPr>
              <w:t>1</w:t>
            </w:r>
          </w:p>
        </w:tc>
        <w:tc>
          <w:tcPr>
            <w:tcW w:w="2126" w:type="dxa"/>
            <w:vAlign w:val="center"/>
          </w:tcPr>
          <w:p w:rsidR="00C2504C" w:rsidRDefault="00C2504C" w:rsidP="00A24762">
            <w:pPr>
              <w:jc w:val="center"/>
            </w:pPr>
            <w:r>
              <w:rPr>
                <w:rFonts w:ascii="宋体" w:eastAsiaTheme="minorEastAsia" w:hAnsi="宋体" w:cs="宋体" w:hint="eastAsia"/>
                <w:color w:val="000000"/>
                <w:sz w:val="20"/>
                <w:szCs w:val="20"/>
              </w:rPr>
              <w:t>血糖试纸</w:t>
            </w:r>
          </w:p>
        </w:tc>
        <w:tc>
          <w:tcPr>
            <w:tcW w:w="993" w:type="dxa"/>
            <w:vAlign w:val="center"/>
          </w:tcPr>
          <w:p w:rsidR="00C2504C" w:rsidRDefault="00C2504C" w:rsidP="00431003">
            <w:pPr>
              <w:widowControl/>
              <w:jc w:val="center"/>
              <w:textAlignment w:val="center"/>
              <w:rPr>
                <w:rFonts w:ascii="宋体" w:hAnsi="宋体" w:cs="宋体"/>
                <w:color w:val="000000"/>
                <w:sz w:val="20"/>
                <w:szCs w:val="20"/>
              </w:rPr>
            </w:pPr>
            <w:r>
              <w:rPr>
                <w:rFonts w:ascii="宋体" w:hAnsi="宋体" w:cs="宋体" w:hint="eastAsia"/>
                <w:color w:val="000000"/>
                <w:sz w:val="20"/>
                <w:szCs w:val="20"/>
              </w:rPr>
              <w:t>片</w:t>
            </w:r>
          </w:p>
        </w:tc>
        <w:tc>
          <w:tcPr>
            <w:tcW w:w="1617" w:type="dxa"/>
            <w:vAlign w:val="center"/>
          </w:tcPr>
          <w:p w:rsidR="00C2504C" w:rsidRDefault="00C2504C" w:rsidP="00431003">
            <w:pPr>
              <w:widowControl/>
              <w:jc w:val="center"/>
              <w:textAlignment w:val="center"/>
              <w:rPr>
                <w:rFonts w:ascii="宋体" w:hAnsi="宋体" w:cs="宋体"/>
                <w:color w:val="000000"/>
                <w:sz w:val="20"/>
                <w:szCs w:val="20"/>
              </w:rPr>
            </w:pPr>
          </w:p>
        </w:tc>
        <w:tc>
          <w:tcPr>
            <w:tcW w:w="1250" w:type="dxa"/>
            <w:vAlign w:val="center"/>
          </w:tcPr>
          <w:p w:rsidR="00C2504C" w:rsidRDefault="00C2504C" w:rsidP="00431003">
            <w:pPr>
              <w:jc w:val="center"/>
            </w:pPr>
            <w:r>
              <w:rPr>
                <w:rFonts w:hint="eastAsia"/>
              </w:rPr>
              <w:t>2.8</w:t>
            </w:r>
          </w:p>
        </w:tc>
        <w:tc>
          <w:tcPr>
            <w:tcW w:w="1572" w:type="dxa"/>
            <w:vAlign w:val="center"/>
          </w:tcPr>
          <w:p w:rsidR="00C2504C" w:rsidRPr="0056616D" w:rsidRDefault="00C2504C" w:rsidP="00A24762">
            <w:r>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307630" w:rsidP="00C2504C">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C2504C" w:rsidP="000C5345">
            <w:pPr>
              <w:widowControl/>
              <w:jc w:val="left"/>
              <w:rPr>
                <w:rFonts w:ascii="宋体" w:hAnsi="宋体"/>
                <w:kern w:val="0"/>
                <w:szCs w:val="21"/>
              </w:rPr>
            </w:pPr>
            <w:r>
              <w:rPr>
                <w:rFonts w:hint="eastAsia"/>
                <w:b/>
                <w:bCs/>
                <w:szCs w:val="21"/>
              </w:rPr>
              <w:t>血糖试纸</w:t>
            </w:r>
          </w:p>
        </w:tc>
        <w:tc>
          <w:tcPr>
            <w:tcW w:w="4819" w:type="dxa"/>
          </w:tcPr>
          <w:p w:rsidR="00B80C55" w:rsidRPr="006F0DAC" w:rsidRDefault="00B80C55" w:rsidP="00A02006">
            <w:pPr>
              <w:widowControl/>
              <w:jc w:val="left"/>
              <w:rPr>
                <w:rFonts w:ascii="宋体" w:hAnsi="宋体"/>
                <w:kern w:val="0"/>
                <w:szCs w:val="21"/>
              </w:rPr>
            </w:pPr>
            <w:r w:rsidRPr="006F0DAC">
              <w:rPr>
                <w:rFonts w:ascii="宋体" w:hAnsi="宋体" w:hint="eastAsia"/>
                <w:kern w:val="0"/>
                <w:szCs w:val="21"/>
              </w:rPr>
              <w:t>1.1</w:t>
            </w:r>
            <w:r w:rsidR="0078305C">
              <w:rPr>
                <w:rFonts w:ascii="宋体" w:hAnsi="宋体" w:hint="eastAsia"/>
                <w:kern w:val="0"/>
                <w:szCs w:val="21"/>
              </w:rPr>
              <w:t>、</w:t>
            </w:r>
            <w:r w:rsidR="00A02006">
              <w:rPr>
                <w:rFonts w:eastAsiaTheme="minorEastAsia" w:hint="eastAsia"/>
              </w:rPr>
              <w:t>用于体外定量检测人指尖新鲜毛细血管全血中的葡萄糖浓度</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78305C">
              <w:rPr>
                <w:rFonts w:ascii="宋体" w:hAnsi="宋体" w:hint="eastAsia"/>
                <w:kern w:val="0"/>
                <w:szCs w:val="21"/>
              </w:rPr>
              <w:t>、</w:t>
            </w:r>
            <w:r w:rsidR="00A02006">
              <w:rPr>
                <w:rFonts w:ascii="宋体" w:eastAsiaTheme="minorEastAsia" w:hAnsi="宋体" w:cs="宋体" w:hint="eastAsia"/>
                <w:color w:val="000000"/>
                <w:sz w:val="20"/>
                <w:szCs w:val="20"/>
              </w:rPr>
              <w:t>葡萄糖氧化酶法</w:t>
            </w:r>
            <w:r w:rsidR="005B13CB"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78305C">
              <w:rPr>
                <w:rFonts w:ascii="宋体" w:hAnsi="宋体" w:hint="eastAsia"/>
                <w:kern w:val="0"/>
                <w:szCs w:val="21"/>
              </w:rPr>
              <w:t>、</w:t>
            </w:r>
            <w:r w:rsidR="00A02006">
              <w:rPr>
                <w:rFonts w:eastAsiaTheme="minorEastAsia" w:hint="eastAsia"/>
              </w:rPr>
              <w:t>由葡萄糖氧化酵素（</w:t>
            </w:r>
            <w:r w:rsidR="00A02006">
              <w:rPr>
                <w:rFonts w:eastAsiaTheme="minorEastAsia" w:hint="eastAsia"/>
              </w:rPr>
              <w:t>G0D</w:t>
            </w:r>
            <w:r w:rsidR="00A02006">
              <w:rPr>
                <w:rFonts w:eastAsiaTheme="minorEastAsia" w:hint="eastAsia"/>
              </w:rPr>
              <w:t>）、赤血盐、其他成分组成</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78305C">
              <w:rPr>
                <w:rFonts w:ascii="宋体" w:hAnsi="宋体" w:hint="eastAsia"/>
                <w:kern w:val="0"/>
                <w:szCs w:val="21"/>
              </w:rPr>
              <w:t>、</w:t>
            </w:r>
            <w:r w:rsidR="00A02006">
              <w:rPr>
                <w:rFonts w:ascii="宋体" w:hAnsi="宋体" w:hint="eastAsia"/>
                <w:kern w:val="0"/>
                <w:szCs w:val="21"/>
              </w:rPr>
              <w:t>无需采购检测设备</w:t>
            </w:r>
            <w:r w:rsidR="003B5244"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78305C">
              <w:rPr>
                <w:rFonts w:ascii="宋体" w:hAnsi="宋体" w:hint="eastAsia"/>
                <w:kern w:val="0"/>
                <w:szCs w:val="21"/>
              </w:rPr>
              <w:t>、</w:t>
            </w:r>
            <w:r w:rsidR="00A02006">
              <w:rPr>
                <w:rFonts w:ascii="宋体" w:hAnsi="宋体" w:hint="eastAsia"/>
                <w:kern w:val="0"/>
                <w:szCs w:val="21"/>
              </w:rPr>
              <w:t>符合临床需求</w:t>
            </w:r>
            <w:r w:rsidR="0078305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bl>
    <w:p w:rsidR="00EB48CE" w:rsidRDefault="00307630" w:rsidP="00C2504C">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307630" w:rsidRPr="00307630" w:rsidRDefault="00307630" w:rsidP="00307630">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w:t>
      </w:r>
      <w:proofErr w:type="gramStart"/>
      <w:r w:rsidRPr="00307630">
        <w:rPr>
          <w:rFonts w:asciiTheme="majorEastAsia" w:eastAsiaTheme="majorEastAsia" w:hAnsiTheme="majorEastAsia" w:cs="宋体" w:hint="eastAsia"/>
          <w:color w:val="FF0000"/>
          <w:sz w:val="24"/>
        </w:rPr>
        <w:t>查并非</w:t>
      </w:r>
      <w:proofErr w:type="gramEnd"/>
      <w:r w:rsidRPr="00307630">
        <w:rPr>
          <w:rFonts w:asciiTheme="majorEastAsia" w:eastAsiaTheme="majorEastAsia" w:hAnsiTheme="majorEastAsia" w:cs="宋体" w:hint="eastAsia"/>
          <w:color w:val="FF0000"/>
          <w:sz w:val="24"/>
        </w:rPr>
        <w:t>最低成交价，即按最低成交价的九</w:t>
      </w:r>
      <w:proofErr w:type="gramStart"/>
      <w:r w:rsidRPr="00307630">
        <w:rPr>
          <w:rFonts w:asciiTheme="majorEastAsia" w:eastAsiaTheme="majorEastAsia" w:hAnsiTheme="majorEastAsia" w:cs="宋体" w:hint="eastAsia"/>
          <w:color w:val="FF0000"/>
          <w:sz w:val="24"/>
        </w:rPr>
        <w:t>折作为</w:t>
      </w:r>
      <w:proofErr w:type="gramEnd"/>
      <w:r w:rsidRPr="00307630">
        <w:rPr>
          <w:rFonts w:asciiTheme="majorEastAsia" w:eastAsiaTheme="majorEastAsia" w:hAnsiTheme="majorEastAsia" w:cs="宋体" w:hint="eastAsia"/>
          <w:color w:val="FF0000"/>
          <w:sz w:val="24"/>
        </w:rPr>
        <w:t>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307630" w:rsidP="005B7FAE">
      <w:pPr>
        <w:rPr>
          <w:sz w:val="24"/>
        </w:rPr>
      </w:pPr>
      <w:r>
        <w:rPr>
          <w:rFonts w:hint="eastAsia"/>
          <w:sz w:val="24"/>
        </w:rPr>
        <w:t xml:space="preserve"> </w:t>
      </w:r>
      <w:r>
        <w:rPr>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307630" w:rsidP="00C2504C">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w:t>
            </w:r>
            <w:r w:rsidR="009A4415" w:rsidRPr="009A4415">
              <w:rPr>
                <w:rFonts w:ascii="宋体" w:hAnsi="宋体" w:hint="eastAsia"/>
                <w:bCs/>
                <w:szCs w:val="21"/>
              </w:rPr>
              <w:lastRenderedPageBreak/>
              <w:t>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w:t>
            </w:r>
            <w:r w:rsidR="00607731" w:rsidRPr="006052F3">
              <w:rPr>
                <w:rFonts w:ascii="宋体" w:hAnsi="宋体"/>
                <w:szCs w:val="21"/>
              </w:rPr>
              <w:lastRenderedPageBreak/>
              <w:t>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w:t>
            </w:r>
            <w:proofErr w:type="gramStart"/>
            <w:r w:rsidRPr="006052F3">
              <w:rPr>
                <w:rFonts w:ascii="宋体" w:hAnsi="宋体"/>
                <w:szCs w:val="21"/>
              </w:rPr>
              <w:t>规</w:t>
            </w:r>
            <w:proofErr w:type="gramEnd"/>
            <w:r w:rsidRPr="006052F3">
              <w:rPr>
                <w:rFonts w:ascii="宋体" w:hAnsi="宋体"/>
                <w:szCs w:val="21"/>
              </w:rPr>
              <w:t>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56" w:rsidRDefault="00835656" w:rsidP="006C75A6">
      <w:r>
        <w:separator/>
      </w:r>
    </w:p>
  </w:endnote>
  <w:endnote w:type="continuationSeparator" w:id="0">
    <w:p w:rsidR="00835656" w:rsidRDefault="0083565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972B0">
        <w:pPr>
          <w:pStyle w:val="afe"/>
        </w:pPr>
        <w:r>
          <w:fldChar w:fldCharType="begin"/>
        </w:r>
        <w:r w:rsidR="00E7702A">
          <w:instrText xml:space="preserve"> PAGE   \* MERGEFORMAT </w:instrText>
        </w:r>
        <w:r>
          <w:fldChar w:fldCharType="separate"/>
        </w:r>
        <w:r w:rsidR="00A02006" w:rsidRPr="00A02006">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972B0">
        <w:pPr>
          <w:pStyle w:val="afe"/>
          <w:jc w:val="right"/>
        </w:pPr>
        <w:r>
          <w:fldChar w:fldCharType="begin"/>
        </w:r>
        <w:r w:rsidR="00E7702A">
          <w:instrText xml:space="preserve"> PAGE   \* MERGEFORMAT </w:instrText>
        </w:r>
        <w:r>
          <w:fldChar w:fldCharType="separate"/>
        </w:r>
        <w:r w:rsidR="00A02006" w:rsidRPr="00A02006">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56" w:rsidRDefault="00835656" w:rsidP="006C75A6">
      <w:r>
        <w:separator/>
      </w:r>
    </w:p>
  </w:footnote>
  <w:footnote w:type="continuationSeparator" w:id="0">
    <w:p w:rsidR="00835656" w:rsidRDefault="0083565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07630"/>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2B0"/>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656"/>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006"/>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504C"/>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2AE9"/>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BF699"/>
  <w15:docId w15:val="{75E7C669-2F7C-41B3-8AEB-28F53262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66A8F-58D1-4371-9472-C04B4219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2497</Characters>
  <Application>Microsoft Office Word</Application>
  <DocSecurity>0</DocSecurity>
  <Lines>20</Lines>
  <Paragraphs>5</Paragraphs>
  <ScaleCrop>false</ScaleCrop>
  <Company>MS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2021-01-04T07:13:00Z</dcterms:created>
  <dcterms:modified xsi:type="dcterms:W3CDTF">2021-01-04T07:13:00Z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