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7C1E03">
        <w:rPr>
          <w:rFonts w:ascii="宋体" w:hAnsi="宋体" w:cs="宋体" w:hint="eastAsia"/>
          <w:b/>
          <w:sz w:val="28"/>
          <w:szCs w:val="28"/>
        </w:rPr>
        <w:t>全自动化学发光免疫分析仪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7C1E03">
        <w:rPr>
          <w:rFonts w:ascii="宋体" w:hAnsi="宋体" w:hint="eastAsia"/>
          <w:sz w:val="24"/>
        </w:rPr>
        <w:t>全自动化学发光免疫分析仪</w:t>
      </w:r>
      <w:r w:rsidRPr="00D80CF6">
        <w:rPr>
          <w:rFonts w:ascii="宋体" w:hAnsi="宋体" w:hint="eastAsia"/>
          <w:sz w:val="24"/>
        </w:rPr>
        <w:t>）为进口产品，则投标人必须为提供所投产品（</w:t>
      </w:r>
      <w:r w:rsidR="007C1E03">
        <w:rPr>
          <w:rFonts w:ascii="宋体" w:hAnsi="宋体" w:hint="eastAsia"/>
          <w:sz w:val="24"/>
        </w:rPr>
        <w:t>全自动化学发光免疫分析仪</w:t>
      </w:r>
      <w:r w:rsidRPr="00D80CF6">
        <w:rPr>
          <w:rFonts w:ascii="宋体" w:hAnsi="宋体" w:hint="eastAsia"/>
          <w:sz w:val="24"/>
        </w:rPr>
        <w:t>）的制造商或合法代理商或合法授权供应商（提供相关证明）；若所投产品（</w:t>
      </w:r>
      <w:r w:rsidR="007C1E03">
        <w:rPr>
          <w:rFonts w:ascii="宋体" w:hAnsi="宋体" w:hint="eastAsia"/>
          <w:sz w:val="24"/>
        </w:rPr>
        <w:t>全自动化学发光免疫分析仪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sidR="00801856">
        <w:rPr>
          <w:rFonts w:ascii="宋体" w:hAnsi="宋体" w:hint="eastAsia"/>
          <w:sz w:val="24"/>
        </w:rPr>
        <w:t>或非医疗器械说明；</w:t>
      </w:r>
    </w:p>
    <w:p w:rsidR="009E3946" w:rsidRDefault="003A1A47" w:rsidP="003A1A47">
      <w:pPr>
        <w:ind w:firstLineChars="100" w:firstLine="240"/>
        <w:rPr>
          <w:rFonts w:ascii="宋体" w:hAnsi="宋体"/>
          <w:sz w:val="24"/>
        </w:rPr>
      </w:pPr>
      <w:r>
        <w:rPr>
          <w:rFonts w:ascii="宋体" w:hAnsi="宋体" w:hint="eastAsia"/>
          <w:sz w:val="24"/>
        </w:rPr>
        <w:t>4、</w:t>
      </w:r>
      <w:r w:rsidR="00801856">
        <w:rPr>
          <w:rFonts w:ascii="宋体" w:hAnsi="宋体" w:hint="eastAsia"/>
          <w:sz w:val="24"/>
        </w:rPr>
        <w:t>投标人所投产品为III类医疗器械的必须具有《医疗器械经营许可证》或《医疗器械生产许可证》</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42"/>
        <w:gridCol w:w="992"/>
        <w:gridCol w:w="993"/>
        <w:gridCol w:w="2038"/>
      </w:tblGrid>
      <w:tr w:rsidR="00390CE6" w:rsidRPr="00912407" w:rsidTr="00D32D6B">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42"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992"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D32D6B">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42" w:type="dxa"/>
            <w:vAlign w:val="center"/>
          </w:tcPr>
          <w:p w:rsidR="00390CE6" w:rsidRPr="00912407" w:rsidRDefault="007C1E03" w:rsidP="00D26420">
            <w:pPr>
              <w:jc w:val="center"/>
              <w:rPr>
                <w:b/>
                <w:bCs/>
                <w:color w:val="000000" w:themeColor="text1"/>
                <w:szCs w:val="21"/>
              </w:rPr>
            </w:pPr>
            <w:r>
              <w:rPr>
                <w:rFonts w:hint="eastAsia"/>
                <w:b/>
                <w:bCs/>
                <w:color w:val="000000" w:themeColor="text1"/>
                <w:szCs w:val="21"/>
              </w:rPr>
              <w:t>全自动化学发光免疫分析仪</w:t>
            </w:r>
          </w:p>
        </w:tc>
        <w:tc>
          <w:tcPr>
            <w:tcW w:w="992" w:type="dxa"/>
            <w:vAlign w:val="center"/>
          </w:tcPr>
          <w:p w:rsidR="00390CE6" w:rsidRPr="00912407" w:rsidRDefault="007C1E03"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7C1E03"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7C1E03" w:rsidP="000C5345">
            <w:pPr>
              <w:jc w:val="center"/>
              <w:rPr>
                <w:b/>
                <w:bCs/>
                <w:color w:val="000000" w:themeColor="text1"/>
                <w:szCs w:val="21"/>
              </w:rPr>
            </w:pPr>
            <w:r>
              <w:rPr>
                <w:rFonts w:hint="eastAsia"/>
                <w:b/>
                <w:bCs/>
                <w:color w:val="000000" w:themeColor="text1"/>
                <w:szCs w:val="21"/>
              </w:rPr>
              <w:t>8</w:t>
            </w:r>
          </w:p>
        </w:tc>
      </w:tr>
    </w:tbl>
    <w:p w:rsidR="00A94AB7" w:rsidRPr="00390CE6" w:rsidRDefault="006E0AF7" w:rsidP="007C1E03">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2E51E2" w:rsidRPr="006F0DAC" w:rsidTr="00AA1B1D">
        <w:trPr>
          <w:trHeight w:val="450"/>
        </w:trPr>
        <w:tc>
          <w:tcPr>
            <w:tcW w:w="671" w:type="dxa"/>
            <w:vMerge w:val="restart"/>
          </w:tcPr>
          <w:p w:rsidR="002E51E2" w:rsidRPr="006F0DAC" w:rsidRDefault="002E51E2"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2E51E2" w:rsidRPr="006F0DAC" w:rsidRDefault="002E51E2" w:rsidP="000C5345">
            <w:pPr>
              <w:widowControl/>
              <w:jc w:val="left"/>
              <w:rPr>
                <w:rFonts w:ascii="宋体" w:hAnsi="宋体"/>
                <w:kern w:val="0"/>
                <w:szCs w:val="21"/>
              </w:rPr>
            </w:pPr>
            <w:r>
              <w:rPr>
                <w:rFonts w:hint="eastAsia"/>
                <w:b/>
                <w:bCs/>
                <w:szCs w:val="21"/>
              </w:rPr>
              <w:t>全自动化学发光免疫分析仪</w:t>
            </w: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1.1</w:t>
            </w:r>
            <w:r>
              <w:rPr>
                <w:rFonts w:ascii="宋体" w:hAnsi="宋体" w:cs="宋体" w:hint="eastAsia"/>
                <w:szCs w:val="21"/>
              </w:rPr>
              <w:t>仪器原理：</w:t>
            </w:r>
            <w:r w:rsidRPr="00EE24FD">
              <w:rPr>
                <w:rFonts w:ascii="宋体" w:hAnsi="宋体" w:cs="宋体" w:hint="eastAsia"/>
                <w:szCs w:val="21"/>
              </w:rPr>
              <w:t>化学发光分析技术</w:t>
            </w:r>
            <w:r w:rsidRPr="006F0DAC">
              <w:rPr>
                <w:rFonts w:ascii="宋体" w:hAnsi="宋体" w:hint="eastAsia"/>
                <w:szCs w:val="21"/>
              </w:rPr>
              <w:t>。</w:t>
            </w:r>
          </w:p>
        </w:tc>
        <w:tc>
          <w:tcPr>
            <w:tcW w:w="1276" w:type="dxa"/>
          </w:tcPr>
          <w:p w:rsidR="002E51E2" w:rsidRPr="006F0DAC" w:rsidRDefault="002E51E2" w:rsidP="00DD0471">
            <w:pPr>
              <w:widowControl/>
              <w:jc w:val="left"/>
              <w:rPr>
                <w:rFonts w:ascii="宋体" w:hAnsi="宋体"/>
                <w:kern w:val="0"/>
                <w:szCs w:val="21"/>
              </w:rPr>
            </w:pPr>
          </w:p>
        </w:tc>
      </w:tr>
      <w:tr w:rsidR="002E51E2" w:rsidRPr="006F0DAC" w:rsidTr="00AA1B1D">
        <w:trPr>
          <w:trHeight w:val="45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1.2</w:t>
            </w:r>
            <w:r w:rsidRPr="00EE24FD">
              <w:rPr>
                <w:rFonts w:ascii="宋体" w:hAnsi="宋体" w:cs="宋体" w:hint="eastAsia"/>
                <w:szCs w:val="21"/>
              </w:rPr>
              <w:t>系统检测速度：单模块速度≥</w:t>
            </w:r>
            <w:r>
              <w:rPr>
                <w:rFonts w:ascii="宋体" w:hAnsi="宋体" w:cs="宋体" w:hint="eastAsia"/>
                <w:szCs w:val="21"/>
              </w:rPr>
              <w:t>5</w:t>
            </w:r>
            <w:r w:rsidRPr="00EE24FD">
              <w:rPr>
                <w:rFonts w:ascii="宋体" w:hAnsi="宋体" w:cs="宋体" w:hint="eastAsia"/>
                <w:szCs w:val="21"/>
              </w:rPr>
              <w:t>00测试/小时</w:t>
            </w:r>
            <w:r w:rsidRPr="006F0DAC">
              <w:rPr>
                <w:rFonts w:ascii="宋体" w:hAnsi="宋体" w:cs="宋体" w:hint="eastAsia"/>
                <w:szCs w:val="21"/>
              </w:rPr>
              <w:t>。</w:t>
            </w:r>
          </w:p>
        </w:tc>
        <w:tc>
          <w:tcPr>
            <w:tcW w:w="1276" w:type="dxa"/>
          </w:tcPr>
          <w:p w:rsidR="002E51E2" w:rsidRPr="006F0DAC" w:rsidRDefault="002E51E2" w:rsidP="00DD0471">
            <w:pPr>
              <w:widowControl/>
              <w:jc w:val="left"/>
              <w:rPr>
                <w:rFonts w:ascii="宋体" w:hAnsi="宋体"/>
                <w:kern w:val="0"/>
                <w:szCs w:val="21"/>
              </w:rPr>
            </w:pPr>
            <w:r w:rsidRPr="006F0DAC">
              <w:rPr>
                <w:rFonts w:ascii="宋体" w:hAnsi="宋体" w:hint="eastAsia"/>
                <w:kern w:val="0"/>
                <w:szCs w:val="21"/>
              </w:rPr>
              <w:t>提供证明材料</w:t>
            </w:r>
          </w:p>
        </w:tc>
      </w:tr>
      <w:tr w:rsidR="002E51E2" w:rsidRPr="006F0DAC" w:rsidTr="00AA1B1D">
        <w:trPr>
          <w:trHeight w:val="45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1.3</w:t>
            </w:r>
            <w:r w:rsidRPr="00EE24FD">
              <w:rPr>
                <w:rFonts w:ascii="宋体" w:hAnsi="宋体" w:cs="宋体" w:hint="eastAsia"/>
                <w:szCs w:val="21"/>
              </w:rPr>
              <w:t>试剂通道：单模块试剂通道≥</w:t>
            </w:r>
            <w:r>
              <w:rPr>
                <w:rFonts w:ascii="宋体" w:hAnsi="宋体" w:cs="宋体" w:hint="eastAsia"/>
                <w:szCs w:val="21"/>
              </w:rPr>
              <w:t>40</w:t>
            </w:r>
            <w:r w:rsidRPr="00EE24FD">
              <w:rPr>
                <w:rFonts w:ascii="宋体" w:hAnsi="宋体" w:cs="宋体" w:hint="eastAsia"/>
                <w:szCs w:val="21"/>
              </w:rPr>
              <w:t>个，自带冷藏功能</w:t>
            </w:r>
            <w:r w:rsidRPr="006F0DAC">
              <w:rPr>
                <w:rFonts w:ascii="宋体" w:hAnsi="宋体" w:hint="eastAsia"/>
                <w:szCs w:val="21"/>
              </w:rPr>
              <w:t>。</w:t>
            </w:r>
          </w:p>
        </w:tc>
        <w:tc>
          <w:tcPr>
            <w:tcW w:w="1276" w:type="dxa"/>
          </w:tcPr>
          <w:p w:rsidR="002E51E2" w:rsidRPr="006F0DAC" w:rsidRDefault="002E51E2" w:rsidP="00DD0471">
            <w:pPr>
              <w:widowControl/>
              <w:jc w:val="left"/>
              <w:rPr>
                <w:rFonts w:ascii="宋体" w:hAnsi="宋体"/>
                <w:kern w:val="0"/>
                <w:szCs w:val="21"/>
              </w:rPr>
            </w:pPr>
            <w:r w:rsidRPr="006F0DAC">
              <w:rPr>
                <w:rFonts w:ascii="宋体" w:hAnsi="宋体" w:hint="eastAsia"/>
                <w:kern w:val="0"/>
                <w:szCs w:val="21"/>
              </w:rPr>
              <w:t>提供证明材料</w:t>
            </w:r>
          </w:p>
        </w:tc>
      </w:tr>
      <w:tr w:rsidR="002E51E2" w:rsidRPr="006F0DAC" w:rsidTr="00AA1B1D">
        <w:trPr>
          <w:trHeight w:val="45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1.4</w:t>
            </w:r>
            <w:r w:rsidRPr="00EE24FD">
              <w:rPr>
                <w:rFonts w:ascii="宋体" w:hAnsi="宋体" w:cs="宋体" w:hint="eastAsia"/>
                <w:szCs w:val="21"/>
              </w:rPr>
              <w:t>试剂加载：仪器运行期间可连续加载试剂</w:t>
            </w:r>
            <w:r w:rsidRPr="006F0DAC">
              <w:rPr>
                <w:rFonts w:ascii="宋体" w:hAnsi="宋体" w:cs="宋体" w:hint="eastAsia"/>
                <w:szCs w:val="21"/>
              </w:rPr>
              <w:t>。</w:t>
            </w:r>
          </w:p>
        </w:tc>
        <w:tc>
          <w:tcPr>
            <w:tcW w:w="1276" w:type="dxa"/>
          </w:tcPr>
          <w:p w:rsidR="002E51E2" w:rsidRPr="006F0DAC" w:rsidRDefault="002E51E2" w:rsidP="00DD0471">
            <w:pPr>
              <w:widowControl/>
              <w:jc w:val="left"/>
              <w:rPr>
                <w:rFonts w:ascii="宋体" w:hAnsi="宋体"/>
                <w:kern w:val="0"/>
                <w:szCs w:val="21"/>
              </w:rPr>
            </w:pPr>
          </w:p>
        </w:tc>
      </w:tr>
      <w:tr w:rsidR="002E51E2" w:rsidRPr="006F0DAC" w:rsidTr="00AA1B1D">
        <w:trPr>
          <w:trHeight w:val="45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1.5</w:t>
            </w:r>
            <w:r>
              <w:rPr>
                <w:rFonts w:ascii="宋体" w:hAnsi="宋体" w:cs="宋体" w:hint="eastAsia"/>
                <w:szCs w:val="21"/>
              </w:rPr>
              <w:t>配备</w:t>
            </w:r>
            <w:r w:rsidRPr="00EE24FD">
              <w:rPr>
                <w:rFonts w:ascii="宋体" w:hAnsi="宋体" w:cs="宋体" w:hint="eastAsia"/>
                <w:szCs w:val="21"/>
              </w:rPr>
              <w:t>一次性加样系统，减少交叉污染</w:t>
            </w:r>
            <w:r>
              <w:rPr>
                <w:rFonts w:ascii="宋体" w:hAnsi="宋体" w:hint="eastAsia"/>
                <w:kern w:val="0"/>
                <w:szCs w:val="21"/>
              </w:rPr>
              <w:t>。</w:t>
            </w:r>
          </w:p>
        </w:tc>
        <w:tc>
          <w:tcPr>
            <w:tcW w:w="1276" w:type="dxa"/>
          </w:tcPr>
          <w:p w:rsidR="002E51E2" w:rsidRPr="006F0DAC" w:rsidRDefault="002E51E2" w:rsidP="00DD0471">
            <w:pPr>
              <w:widowControl/>
              <w:jc w:val="left"/>
              <w:rPr>
                <w:rFonts w:ascii="宋体" w:hAnsi="宋体"/>
                <w:kern w:val="0"/>
                <w:szCs w:val="21"/>
              </w:rPr>
            </w:pPr>
          </w:p>
        </w:tc>
      </w:tr>
      <w:tr w:rsidR="002E51E2" w:rsidRPr="006F0DAC" w:rsidTr="00AA1B1D">
        <w:trPr>
          <w:trHeight w:val="45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1.6</w:t>
            </w:r>
            <w:r w:rsidRPr="00EE24FD">
              <w:rPr>
                <w:rFonts w:ascii="宋体" w:hAnsi="宋体" w:hint="eastAsia"/>
                <w:szCs w:val="21"/>
              </w:rPr>
              <w:t>样品类型：血清、血浆和其它体液</w:t>
            </w:r>
            <w:r w:rsidRPr="006F0DAC">
              <w:rPr>
                <w:rFonts w:ascii="宋体" w:hAnsi="宋体" w:hint="eastAsia"/>
                <w:szCs w:val="21"/>
              </w:rPr>
              <w:t>。</w:t>
            </w:r>
          </w:p>
        </w:tc>
        <w:tc>
          <w:tcPr>
            <w:tcW w:w="1276" w:type="dxa"/>
          </w:tcPr>
          <w:p w:rsidR="002E51E2" w:rsidRPr="006F0DAC" w:rsidRDefault="002E51E2" w:rsidP="00DD0471">
            <w:pPr>
              <w:widowControl/>
              <w:jc w:val="left"/>
              <w:rPr>
                <w:rFonts w:ascii="宋体" w:hAnsi="宋体"/>
                <w:kern w:val="0"/>
                <w:szCs w:val="21"/>
              </w:rPr>
            </w:pPr>
          </w:p>
        </w:tc>
      </w:tr>
      <w:tr w:rsidR="002E51E2" w:rsidRPr="006F0DAC" w:rsidTr="00AA1B1D">
        <w:trPr>
          <w:trHeight w:val="45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1.7</w:t>
            </w:r>
            <w:r w:rsidRPr="00EE24FD">
              <w:rPr>
                <w:rFonts w:ascii="宋体" w:hAnsi="宋体" w:cs="宋体" w:hint="eastAsia"/>
                <w:szCs w:val="21"/>
              </w:rPr>
              <w:t>样本处理：采用轨道进样模式，同时在机样本管数量≥300个，并可连续装载，可使用原始管直接上机检测。可在任何时间即时插入STAT急诊样品</w:t>
            </w:r>
            <w:r w:rsidRPr="006F0DAC">
              <w:rPr>
                <w:rFonts w:ascii="宋体" w:hAnsi="宋体" w:hint="eastAsia"/>
                <w:kern w:val="0"/>
                <w:szCs w:val="21"/>
              </w:rPr>
              <w:t>。</w:t>
            </w:r>
          </w:p>
        </w:tc>
        <w:tc>
          <w:tcPr>
            <w:tcW w:w="1276" w:type="dxa"/>
          </w:tcPr>
          <w:p w:rsidR="002E51E2" w:rsidRPr="006F0DAC" w:rsidRDefault="002E51E2" w:rsidP="00DD0471">
            <w:pPr>
              <w:widowControl/>
              <w:jc w:val="left"/>
              <w:rPr>
                <w:rFonts w:ascii="宋体" w:hAnsi="宋体"/>
                <w:kern w:val="0"/>
                <w:szCs w:val="21"/>
              </w:rPr>
            </w:pPr>
            <w:r w:rsidRPr="006F0DAC">
              <w:rPr>
                <w:rFonts w:ascii="宋体" w:hAnsi="宋体" w:hint="eastAsia"/>
                <w:kern w:val="0"/>
                <w:szCs w:val="21"/>
              </w:rPr>
              <w:t>提供证明材料</w:t>
            </w:r>
          </w:p>
        </w:tc>
      </w:tr>
      <w:tr w:rsidR="002E51E2" w:rsidRPr="006F0DAC" w:rsidTr="00AA1B1D">
        <w:trPr>
          <w:trHeight w:val="510"/>
        </w:trPr>
        <w:tc>
          <w:tcPr>
            <w:tcW w:w="671" w:type="dxa"/>
            <w:vMerge/>
          </w:tcPr>
          <w:p w:rsidR="002E51E2" w:rsidRPr="006F0DAC" w:rsidRDefault="002E51E2" w:rsidP="00DD0471">
            <w:pPr>
              <w:widowControl/>
              <w:jc w:val="left"/>
              <w:rPr>
                <w:rFonts w:ascii="宋体" w:hAnsi="宋体"/>
                <w:b/>
                <w:kern w:val="0"/>
                <w:szCs w:val="21"/>
              </w:rPr>
            </w:pPr>
          </w:p>
        </w:tc>
        <w:tc>
          <w:tcPr>
            <w:tcW w:w="1276" w:type="dxa"/>
            <w:vMerge/>
          </w:tcPr>
          <w:p w:rsidR="002E51E2" w:rsidRPr="006F0DAC" w:rsidRDefault="002E51E2" w:rsidP="00FB3DEA">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1.8</w:t>
            </w:r>
            <w:r w:rsidRPr="00EE24FD">
              <w:rPr>
                <w:rFonts w:ascii="宋体" w:hAnsi="宋体" w:cs="宋体" w:hint="eastAsia"/>
                <w:szCs w:val="21"/>
              </w:rPr>
              <w:t>具</w:t>
            </w:r>
            <w:r>
              <w:rPr>
                <w:rFonts w:ascii="宋体" w:hAnsi="宋体" w:cs="宋体" w:hint="eastAsia"/>
                <w:szCs w:val="21"/>
              </w:rPr>
              <w:t>有</w:t>
            </w:r>
            <w:r w:rsidRPr="00EE24FD">
              <w:rPr>
                <w:rFonts w:ascii="宋体" w:hAnsi="宋体" w:cs="宋体" w:hint="eastAsia"/>
                <w:szCs w:val="21"/>
              </w:rPr>
              <w:t>样本凝块检出功能及样本探针堵孔报警和防碰撞功能；具</w:t>
            </w:r>
            <w:r>
              <w:rPr>
                <w:rFonts w:ascii="宋体" w:hAnsi="宋体" w:cs="宋体" w:hint="eastAsia"/>
                <w:szCs w:val="21"/>
              </w:rPr>
              <w:t>有</w:t>
            </w:r>
            <w:r w:rsidRPr="00EE24FD">
              <w:rPr>
                <w:rFonts w:ascii="宋体" w:hAnsi="宋体" w:cs="宋体" w:hint="eastAsia"/>
                <w:szCs w:val="21"/>
              </w:rPr>
              <w:t>试管液面探测技术或自动跟踪功能；具有待测样本拍照功能，能避免气泡对检测检测结果的干扰</w:t>
            </w:r>
            <w:r w:rsidRPr="006F0DAC">
              <w:rPr>
                <w:rFonts w:ascii="宋体" w:hAnsi="宋体" w:hint="eastAsia"/>
                <w:kern w:val="0"/>
                <w:szCs w:val="21"/>
              </w:rPr>
              <w:t>。</w:t>
            </w:r>
          </w:p>
        </w:tc>
        <w:tc>
          <w:tcPr>
            <w:tcW w:w="1276" w:type="dxa"/>
          </w:tcPr>
          <w:p w:rsidR="002E51E2" w:rsidRPr="006F0DAC" w:rsidRDefault="002E51E2" w:rsidP="00DD0471">
            <w:pPr>
              <w:widowControl/>
              <w:jc w:val="left"/>
              <w:rPr>
                <w:rFonts w:ascii="宋体" w:hAnsi="宋体"/>
                <w:kern w:val="0"/>
                <w:szCs w:val="21"/>
              </w:rPr>
            </w:pPr>
            <w:r w:rsidRPr="006F0DAC">
              <w:rPr>
                <w:rFonts w:ascii="宋体" w:hAnsi="宋体" w:hint="eastAsia"/>
                <w:kern w:val="0"/>
                <w:szCs w:val="21"/>
              </w:rPr>
              <w:t>提供证明材料</w:t>
            </w:r>
          </w:p>
        </w:tc>
      </w:tr>
      <w:tr w:rsidR="002E51E2" w:rsidRPr="006F0DAC" w:rsidTr="00AA1B1D">
        <w:trPr>
          <w:trHeight w:val="51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1.9</w:t>
            </w:r>
            <w:r>
              <w:rPr>
                <w:rFonts w:ascii="宋体" w:hAnsi="宋体" w:hint="eastAsia"/>
                <w:kern w:val="0"/>
                <w:szCs w:val="21"/>
              </w:rPr>
              <w:t>具有</w:t>
            </w:r>
            <w:r w:rsidRPr="00EE24FD">
              <w:rPr>
                <w:rFonts w:ascii="宋体" w:hAnsi="宋体" w:cs="宋体" w:hint="eastAsia"/>
                <w:szCs w:val="21"/>
              </w:rPr>
              <w:t>样本稀释功能</w:t>
            </w:r>
            <w:r>
              <w:rPr>
                <w:rFonts w:ascii="宋体" w:hAnsi="宋体" w:cs="宋体" w:hint="eastAsia"/>
                <w:szCs w:val="21"/>
              </w:rPr>
              <w:t>，</w:t>
            </w:r>
            <w:r w:rsidRPr="00EE24FD">
              <w:rPr>
                <w:rFonts w:ascii="宋体" w:hAnsi="宋体" w:cs="宋体" w:hint="eastAsia"/>
                <w:szCs w:val="21"/>
              </w:rPr>
              <w:t>可自动进行样本稀释检测</w:t>
            </w:r>
            <w:r w:rsidRPr="006F0DAC">
              <w:rPr>
                <w:rFonts w:ascii="宋体" w:hAnsi="宋体" w:hint="eastAsia"/>
                <w:szCs w:val="21"/>
              </w:rPr>
              <w:t>。</w:t>
            </w:r>
          </w:p>
        </w:tc>
        <w:tc>
          <w:tcPr>
            <w:tcW w:w="1276" w:type="dxa"/>
          </w:tcPr>
          <w:p w:rsidR="002E51E2" w:rsidRPr="006F0DAC" w:rsidRDefault="002E51E2" w:rsidP="00DD0471">
            <w:pPr>
              <w:widowControl/>
              <w:jc w:val="left"/>
              <w:rPr>
                <w:rFonts w:ascii="宋体" w:hAnsi="宋体"/>
                <w:kern w:val="0"/>
                <w:szCs w:val="21"/>
              </w:rPr>
            </w:pPr>
            <w:r w:rsidRPr="006F0DAC">
              <w:rPr>
                <w:rFonts w:ascii="宋体" w:hAnsi="宋体" w:hint="eastAsia"/>
                <w:kern w:val="0"/>
                <w:szCs w:val="21"/>
              </w:rPr>
              <w:t>提供证明材料</w:t>
            </w:r>
          </w:p>
        </w:tc>
      </w:tr>
      <w:tr w:rsidR="002E51E2" w:rsidRPr="006F0DAC" w:rsidTr="00AA1B1D">
        <w:trPr>
          <w:trHeight w:val="51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1.10</w:t>
            </w:r>
            <w:r w:rsidRPr="00EE24FD">
              <w:rPr>
                <w:rFonts w:ascii="宋体" w:hAnsi="宋体" w:cs="宋体" w:hint="eastAsia"/>
                <w:szCs w:val="21"/>
              </w:rPr>
              <w:t>定标要求：两点定标，减少定标次数，节省定标成本</w:t>
            </w:r>
            <w:r w:rsidRPr="006F0DAC">
              <w:rPr>
                <w:rFonts w:ascii="宋体" w:hAnsi="宋体" w:hint="eastAsia"/>
                <w:szCs w:val="21"/>
              </w:rPr>
              <w:t>。</w:t>
            </w:r>
          </w:p>
        </w:tc>
        <w:tc>
          <w:tcPr>
            <w:tcW w:w="1276" w:type="dxa"/>
          </w:tcPr>
          <w:p w:rsidR="002E51E2" w:rsidRPr="006F0DAC" w:rsidRDefault="002E51E2" w:rsidP="00DD0471">
            <w:pPr>
              <w:widowControl/>
              <w:jc w:val="left"/>
              <w:rPr>
                <w:rFonts w:ascii="宋体" w:hAnsi="宋体"/>
                <w:kern w:val="0"/>
                <w:szCs w:val="21"/>
              </w:rPr>
            </w:pPr>
            <w:r w:rsidRPr="006F0DAC">
              <w:rPr>
                <w:rFonts w:ascii="宋体" w:hAnsi="宋体" w:hint="eastAsia"/>
                <w:kern w:val="0"/>
                <w:szCs w:val="21"/>
              </w:rPr>
              <w:t>提供证明材料</w:t>
            </w:r>
          </w:p>
        </w:tc>
      </w:tr>
      <w:tr w:rsidR="002E51E2" w:rsidRPr="007C1E03" w:rsidTr="00AA1B1D">
        <w:trPr>
          <w:trHeight w:val="51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sidRPr="006F0DAC">
              <w:rPr>
                <w:rFonts w:ascii="宋体" w:hAnsi="宋体" w:hint="eastAsia"/>
                <w:kern w:val="0"/>
                <w:szCs w:val="21"/>
              </w:rPr>
              <w:t>1.11</w:t>
            </w:r>
            <w:r w:rsidRPr="00EE24FD">
              <w:rPr>
                <w:rFonts w:ascii="宋体" w:hAnsi="宋体" w:cs="宋体" w:hint="eastAsia"/>
                <w:szCs w:val="21"/>
              </w:rPr>
              <w:t>检测项目</w:t>
            </w:r>
            <w:proofErr w:type="gramStart"/>
            <w:r w:rsidRPr="00EE24FD">
              <w:rPr>
                <w:rFonts w:ascii="宋体" w:hAnsi="宋体" w:cs="宋体" w:hint="eastAsia"/>
                <w:szCs w:val="21"/>
              </w:rPr>
              <w:t>须包括</w:t>
            </w:r>
            <w:proofErr w:type="gramEnd"/>
            <w:r>
              <w:rPr>
                <w:rFonts w:ascii="宋体" w:hAnsi="宋体" w:cs="宋体" w:hint="eastAsia"/>
                <w:szCs w:val="21"/>
              </w:rPr>
              <w:t>血管紧张素I、血管紧张素II、肾素、醛固酮、皮质醇、促肾上腺皮质激素</w:t>
            </w:r>
            <w:r w:rsidRPr="00EE24FD">
              <w:rPr>
                <w:rFonts w:ascii="宋体" w:hAnsi="宋体" w:hint="eastAsia"/>
                <w:szCs w:val="21"/>
              </w:rPr>
              <w:t>等项目</w:t>
            </w:r>
            <w:r w:rsidRPr="006F0DAC">
              <w:rPr>
                <w:rFonts w:ascii="宋体" w:hAnsi="宋体" w:hint="eastAsia"/>
                <w:szCs w:val="21"/>
              </w:rPr>
              <w:t>。</w:t>
            </w:r>
          </w:p>
        </w:tc>
        <w:tc>
          <w:tcPr>
            <w:tcW w:w="1276" w:type="dxa"/>
          </w:tcPr>
          <w:p w:rsidR="002E51E2" w:rsidRPr="006F0DAC" w:rsidRDefault="002E51E2" w:rsidP="00DD0471">
            <w:pPr>
              <w:widowControl/>
              <w:jc w:val="left"/>
              <w:rPr>
                <w:rFonts w:ascii="宋体" w:hAnsi="宋体"/>
                <w:kern w:val="0"/>
                <w:szCs w:val="21"/>
              </w:rPr>
            </w:pPr>
            <w:r w:rsidRPr="006F0DAC">
              <w:rPr>
                <w:rFonts w:ascii="宋体" w:hAnsi="宋体" w:hint="eastAsia"/>
                <w:kern w:val="0"/>
                <w:szCs w:val="21"/>
              </w:rPr>
              <w:t>提供证明材料</w:t>
            </w:r>
          </w:p>
        </w:tc>
      </w:tr>
      <w:tr w:rsidR="002E51E2" w:rsidRPr="007C1E03" w:rsidTr="00AA1B1D">
        <w:trPr>
          <w:trHeight w:val="51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Pr>
                <w:rFonts w:ascii="宋体" w:hAnsi="宋体" w:hint="eastAsia"/>
                <w:kern w:val="0"/>
                <w:szCs w:val="21"/>
              </w:rPr>
              <w:t>1.12</w:t>
            </w:r>
            <w:r w:rsidRPr="00EE24FD">
              <w:rPr>
                <w:rFonts w:ascii="宋体" w:hAnsi="宋体" w:cs="宋体" w:hint="eastAsia"/>
                <w:szCs w:val="21"/>
              </w:rPr>
              <w:t>故障诊断：</w:t>
            </w:r>
            <w:r w:rsidRPr="00EE24FD">
              <w:rPr>
                <w:rFonts w:ascii="宋体" w:hAnsi="宋体" w:cs="宋体" w:hint="eastAsia"/>
                <w:bCs/>
                <w:szCs w:val="21"/>
              </w:rPr>
              <w:t>具备智能故障检测功能，可提示软硬件系统的故障原因和部位</w:t>
            </w:r>
            <w:r>
              <w:rPr>
                <w:rFonts w:ascii="宋体" w:hAnsi="宋体" w:cs="宋体" w:hint="eastAsia"/>
                <w:bCs/>
                <w:szCs w:val="21"/>
              </w:rPr>
              <w:t>。</w:t>
            </w:r>
          </w:p>
        </w:tc>
        <w:tc>
          <w:tcPr>
            <w:tcW w:w="1276" w:type="dxa"/>
          </w:tcPr>
          <w:p w:rsidR="002E51E2" w:rsidRPr="006F0DAC" w:rsidRDefault="002E51E2" w:rsidP="00DD0471">
            <w:pPr>
              <w:widowControl/>
              <w:jc w:val="left"/>
              <w:rPr>
                <w:rFonts w:ascii="宋体" w:hAnsi="宋体"/>
                <w:kern w:val="0"/>
                <w:szCs w:val="21"/>
              </w:rPr>
            </w:pPr>
          </w:p>
        </w:tc>
      </w:tr>
      <w:tr w:rsidR="002E51E2" w:rsidRPr="007C1E03" w:rsidTr="00AA1B1D">
        <w:trPr>
          <w:trHeight w:val="51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7C1E03">
            <w:pPr>
              <w:widowControl/>
              <w:jc w:val="left"/>
              <w:rPr>
                <w:rFonts w:ascii="宋体" w:hAnsi="宋体"/>
                <w:kern w:val="0"/>
                <w:szCs w:val="21"/>
              </w:rPr>
            </w:pPr>
            <w:r>
              <w:rPr>
                <w:rFonts w:ascii="宋体" w:hAnsi="宋体" w:hint="eastAsia"/>
                <w:kern w:val="0"/>
                <w:szCs w:val="21"/>
              </w:rPr>
              <w:t>1.13</w:t>
            </w:r>
            <w:r w:rsidRPr="00EE24FD">
              <w:rPr>
                <w:rFonts w:ascii="宋体" w:hAnsi="宋体" w:cs="宋体" w:hint="eastAsia"/>
                <w:szCs w:val="21"/>
              </w:rPr>
              <w:t>条形码 ：配置完备的样品条形码管理系统，实现样品的条形码管理；支持Code128类型</w:t>
            </w:r>
            <w:r>
              <w:rPr>
                <w:rFonts w:ascii="宋体" w:hAnsi="宋体" w:cs="宋体" w:hint="eastAsia"/>
                <w:szCs w:val="21"/>
              </w:rPr>
              <w:t>。</w:t>
            </w:r>
          </w:p>
        </w:tc>
        <w:tc>
          <w:tcPr>
            <w:tcW w:w="1276" w:type="dxa"/>
          </w:tcPr>
          <w:p w:rsidR="002E51E2" w:rsidRPr="006F0DAC" w:rsidRDefault="002E51E2" w:rsidP="00DD0471">
            <w:pPr>
              <w:widowControl/>
              <w:jc w:val="left"/>
              <w:rPr>
                <w:rFonts w:ascii="宋体" w:hAnsi="宋体"/>
                <w:kern w:val="0"/>
                <w:szCs w:val="21"/>
              </w:rPr>
            </w:pPr>
          </w:p>
        </w:tc>
      </w:tr>
      <w:tr w:rsidR="002E51E2" w:rsidRPr="007C1E03" w:rsidTr="00AA1B1D">
        <w:trPr>
          <w:trHeight w:val="510"/>
        </w:trPr>
        <w:tc>
          <w:tcPr>
            <w:tcW w:w="671" w:type="dxa"/>
            <w:vMerge/>
          </w:tcPr>
          <w:p w:rsidR="002E51E2" w:rsidRPr="006F0DAC" w:rsidRDefault="002E51E2" w:rsidP="00DD0471">
            <w:pPr>
              <w:widowControl/>
              <w:jc w:val="left"/>
              <w:rPr>
                <w:rFonts w:ascii="宋体" w:hAnsi="宋体"/>
                <w:kern w:val="0"/>
                <w:szCs w:val="21"/>
              </w:rPr>
            </w:pPr>
          </w:p>
        </w:tc>
        <w:tc>
          <w:tcPr>
            <w:tcW w:w="1276" w:type="dxa"/>
            <w:vMerge/>
          </w:tcPr>
          <w:p w:rsidR="002E51E2" w:rsidRPr="006F0DAC" w:rsidRDefault="002E51E2" w:rsidP="00DD0471">
            <w:pPr>
              <w:widowControl/>
              <w:jc w:val="left"/>
              <w:rPr>
                <w:rFonts w:ascii="宋体" w:hAnsi="宋体"/>
                <w:kern w:val="0"/>
                <w:szCs w:val="21"/>
              </w:rPr>
            </w:pPr>
          </w:p>
        </w:tc>
        <w:tc>
          <w:tcPr>
            <w:tcW w:w="4819" w:type="dxa"/>
          </w:tcPr>
          <w:p w:rsidR="002E51E2" w:rsidRPr="006F0DAC" w:rsidRDefault="002E51E2" w:rsidP="00E97266">
            <w:pPr>
              <w:widowControl/>
              <w:jc w:val="left"/>
              <w:rPr>
                <w:rFonts w:ascii="宋体" w:hAnsi="宋体"/>
                <w:kern w:val="0"/>
                <w:szCs w:val="21"/>
              </w:rPr>
            </w:pPr>
            <w:r>
              <w:rPr>
                <w:rFonts w:ascii="宋体" w:hAnsi="宋体" w:hint="eastAsia"/>
                <w:kern w:val="0"/>
                <w:szCs w:val="21"/>
              </w:rPr>
              <w:t>1.14</w:t>
            </w:r>
            <w:r>
              <w:rPr>
                <w:rFonts w:ascii="宋体" w:hAnsi="宋体" w:cs="宋体" w:hint="eastAsia"/>
                <w:szCs w:val="21"/>
              </w:rPr>
              <w:t>实验室信息系统接口：支持单向、双向通讯</w:t>
            </w:r>
          </w:p>
        </w:tc>
        <w:tc>
          <w:tcPr>
            <w:tcW w:w="1276" w:type="dxa"/>
          </w:tcPr>
          <w:p w:rsidR="002E51E2" w:rsidRPr="006F0DAC" w:rsidRDefault="002E51E2"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7C1E03">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7C1E03" w:rsidP="0081157D">
            <w:pPr>
              <w:widowControl/>
              <w:jc w:val="left"/>
              <w:rPr>
                <w:rFonts w:ascii="宋体" w:hAnsi="宋体"/>
                <w:szCs w:val="21"/>
              </w:rPr>
            </w:pPr>
            <w:r>
              <w:rPr>
                <w:rFonts w:ascii="宋体" w:hAnsi="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7C1E03" w:rsidRPr="006B2551" w:rsidTr="00AE5D87">
        <w:trPr>
          <w:trHeight w:val="266"/>
          <w:jc w:val="center"/>
        </w:trPr>
        <w:tc>
          <w:tcPr>
            <w:tcW w:w="785" w:type="dxa"/>
            <w:vAlign w:val="center"/>
          </w:tcPr>
          <w:p w:rsidR="007C1E03" w:rsidRPr="006B2551" w:rsidRDefault="007C1E03"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C1E03" w:rsidRPr="00CF5F4E" w:rsidRDefault="007C1E03" w:rsidP="00094A12">
            <w:pPr>
              <w:rPr>
                <w:rFonts w:ascii="宋体" w:hAnsi="宋体"/>
                <w:szCs w:val="21"/>
              </w:rPr>
            </w:pPr>
            <w:r w:rsidRPr="00CF5F4E">
              <w:rPr>
                <w:rFonts w:ascii="宋体" w:hAnsi="宋体" w:hint="eastAsia"/>
                <w:szCs w:val="21"/>
              </w:rPr>
              <w:t>工具箱</w:t>
            </w:r>
          </w:p>
        </w:tc>
        <w:tc>
          <w:tcPr>
            <w:tcW w:w="709" w:type="dxa"/>
            <w:vAlign w:val="bottom"/>
          </w:tcPr>
          <w:p w:rsidR="007C1E03" w:rsidRPr="00CF5F4E" w:rsidRDefault="007C1E03" w:rsidP="00094A12">
            <w:pPr>
              <w:widowControl/>
              <w:jc w:val="center"/>
              <w:rPr>
                <w:rFonts w:ascii="新宋体" w:eastAsia="新宋体" w:hAnsi="新宋体" w:cs="Arial"/>
                <w:color w:val="000000"/>
                <w:kern w:val="0"/>
                <w:szCs w:val="21"/>
              </w:rPr>
            </w:pPr>
            <w:r w:rsidRPr="00CF5F4E">
              <w:rPr>
                <w:rFonts w:ascii="新宋体" w:eastAsia="新宋体" w:hAnsi="新宋体" w:cs="Arial" w:hint="eastAsia"/>
                <w:color w:val="000000"/>
                <w:kern w:val="0"/>
                <w:szCs w:val="21"/>
              </w:rPr>
              <w:t>1</w:t>
            </w:r>
          </w:p>
        </w:tc>
        <w:tc>
          <w:tcPr>
            <w:tcW w:w="709" w:type="dxa"/>
          </w:tcPr>
          <w:p w:rsidR="007C1E03" w:rsidRPr="00CF5F4E" w:rsidRDefault="007C1E03" w:rsidP="00094A12">
            <w:pPr>
              <w:jc w:val="center"/>
              <w:rPr>
                <w:color w:val="000000"/>
              </w:rPr>
            </w:pPr>
            <w:proofErr w:type="gramStart"/>
            <w:r w:rsidRPr="00CF5F4E">
              <w:rPr>
                <w:rFonts w:ascii="新宋体" w:eastAsia="新宋体" w:hAnsi="新宋体" w:cs="宋体" w:hint="eastAsia"/>
                <w:color w:val="000000"/>
                <w:kern w:val="24"/>
                <w:szCs w:val="21"/>
              </w:rPr>
              <w:t>个</w:t>
            </w:r>
            <w:proofErr w:type="gramEnd"/>
          </w:p>
        </w:tc>
        <w:tc>
          <w:tcPr>
            <w:tcW w:w="1011" w:type="dxa"/>
          </w:tcPr>
          <w:p w:rsidR="007C1E03" w:rsidRPr="006B2551" w:rsidRDefault="007C1E03" w:rsidP="008A013D">
            <w:pPr>
              <w:rPr>
                <w:rFonts w:ascii="宋体" w:hAnsi="宋体"/>
                <w:color w:val="000000" w:themeColor="text1"/>
                <w:szCs w:val="21"/>
              </w:rPr>
            </w:pPr>
          </w:p>
        </w:tc>
      </w:tr>
      <w:tr w:rsidR="007C1E03" w:rsidRPr="006B2551" w:rsidTr="00F46DA2">
        <w:trPr>
          <w:trHeight w:val="266"/>
          <w:jc w:val="center"/>
        </w:trPr>
        <w:tc>
          <w:tcPr>
            <w:tcW w:w="785" w:type="dxa"/>
            <w:vAlign w:val="center"/>
          </w:tcPr>
          <w:p w:rsidR="007C1E03" w:rsidRPr="006B2551" w:rsidRDefault="007C1E03"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7C1E03" w:rsidRPr="00CF5F4E" w:rsidRDefault="007C1E03" w:rsidP="00094A12">
            <w:pPr>
              <w:rPr>
                <w:rFonts w:ascii="宋体" w:hAnsi="宋体"/>
                <w:szCs w:val="21"/>
              </w:rPr>
            </w:pPr>
            <w:r w:rsidRPr="00CF5F4E">
              <w:rPr>
                <w:rFonts w:ascii="宋体" w:hAnsi="宋体" w:hint="eastAsia"/>
                <w:szCs w:val="21"/>
              </w:rPr>
              <w:t>装机试剂</w:t>
            </w:r>
          </w:p>
        </w:tc>
        <w:tc>
          <w:tcPr>
            <w:tcW w:w="709" w:type="dxa"/>
            <w:vAlign w:val="bottom"/>
          </w:tcPr>
          <w:p w:rsidR="007C1E03" w:rsidRPr="00CF5F4E" w:rsidRDefault="007C1E03" w:rsidP="00094A12">
            <w:pPr>
              <w:widowControl/>
              <w:jc w:val="center"/>
              <w:rPr>
                <w:rFonts w:ascii="新宋体" w:eastAsia="新宋体" w:hAnsi="新宋体" w:cs="Arial"/>
                <w:color w:val="000000"/>
                <w:kern w:val="0"/>
                <w:szCs w:val="21"/>
              </w:rPr>
            </w:pPr>
            <w:r w:rsidRPr="00CF5F4E">
              <w:rPr>
                <w:rFonts w:ascii="新宋体" w:eastAsia="新宋体" w:hAnsi="新宋体" w:cs="Arial" w:hint="eastAsia"/>
                <w:color w:val="000000"/>
                <w:kern w:val="0"/>
                <w:szCs w:val="21"/>
              </w:rPr>
              <w:t>1</w:t>
            </w:r>
          </w:p>
        </w:tc>
        <w:tc>
          <w:tcPr>
            <w:tcW w:w="709" w:type="dxa"/>
            <w:vAlign w:val="bottom"/>
          </w:tcPr>
          <w:p w:rsidR="007C1E03" w:rsidRPr="00CF5F4E" w:rsidRDefault="007C1E03" w:rsidP="00094A12">
            <w:pPr>
              <w:widowControl/>
              <w:jc w:val="center"/>
              <w:rPr>
                <w:rFonts w:ascii="新宋体" w:eastAsia="新宋体" w:hAnsi="新宋体" w:cs="宋体"/>
                <w:color w:val="000000"/>
                <w:kern w:val="24"/>
                <w:szCs w:val="21"/>
              </w:rPr>
            </w:pPr>
            <w:r w:rsidRPr="00CF5F4E">
              <w:rPr>
                <w:rFonts w:ascii="新宋体" w:eastAsia="新宋体" w:hAnsi="新宋体" w:cs="宋体" w:hint="eastAsia"/>
                <w:color w:val="000000"/>
                <w:kern w:val="24"/>
                <w:szCs w:val="21"/>
              </w:rPr>
              <w:t>套</w:t>
            </w:r>
          </w:p>
        </w:tc>
        <w:tc>
          <w:tcPr>
            <w:tcW w:w="1011" w:type="dxa"/>
          </w:tcPr>
          <w:p w:rsidR="007C1E03" w:rsidRPr="006B2551" w:rsidRDefault="007C1E03" w:rsidP="008A013D">
            <w:pPr>
              <w:rPr>
                <w:rFonts w:ascii="宋体" w:hAnsi="宋体"/>
                <w:color w:val="000000" w:themeColor="text1"/>
                <w:szCs w:val="21"/>
              </w:rPr>
            </w:pPr>
          </w:p>
        </w:tc>
      </w:tr>
      <w:tr w:rsidR="007C1E03" w:rsidRPr="006B2551" w:rsidTr="00F46DA2">
        <w:trPr>
          <w:trHeight w:val="266"/>
          <w:jc w:val="center"/>
        </w:trPr>
        <w:tc>
          <w:tcPr>
            <w:tcW w:w="785" w:type="dxa"/>
            <w:vAlign w:val="center"/>
          </w:tcPr>
          <w:p w:rsidR="007C1E03" w:rsidRPr="006B2551" w:rsidRDefault="007C1E03"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7C1E03" w:rsidRPr="00CF5F4E" w:rsidRDefault="007C1E03" w:rsidP="00094A12">
            <w:pPr>
              <w:widowControl/>
              <w:jc w:val="left"/>
              <w:rPr>
                <w:rFonts w:ascii="宋体" w:hAnsi="宋体"/>
                <w:szCs w:val="21"/>
              </w:rPr>
            </w:pPr>
            <w:r w:rsidRPr="00CF5F4E">
              <w:rPr>
                <w:rFonts w:ascii="宋体" w:hAnsi="宋体" w:hint="eastAsia"/>
                <w:szCs w:val="21"/>
              </w:rPr>
              <w:t>工作站电脑</w:t>
            </w:r>
          </w:p>
        </w:tc>
        <w:tc>
          <w:tcPr>
            <w:tcW w:w="709" w:type="dxa"/>
            <w:vAlign w:val="bottom"/>
          </w:tcPr>
          <w:p w:rsidR="007C1E03" w:rsidRPr="00CF5F4E" w:rsidRDefault="007C1E03" w:rsidP="00094A12">
            <w:pPr>
              <w:widowControl/>
              <w:jc w:val="center"/>
              <w:rPr>
                <w:rFonts w:ascii="新宋体" w:eastAsia="新宋体" w:hAnsi="新宋体" w:cs="Arial"/>
                <w:color w:val="000000"/>
                <w:kern w:val="0"/>
                <w:szCs w:val="21"/>
              </w:rPr>
            </w:pPr>
            <w:r w:rsidRPr="00CF5F4E">
              <w:rPr>
                <w:rFonts w:ascii="新宋体" w:eastAsia="新宋体" w:hAnsi="新宋体" w:cs="Arial" w:hint="eastAsia"/>
                <w:color w:val="000000"/>
                <w:kern w:val="0"/>
                <w:szCs w:val="21"/>
              </w:rPr>
              <w:t>2</w:t>
            </w:r>
          </w:p>
        </w:tc>
        <w:tc>
          <w:tcPr>
            <w:tcW w:w="709" w:type="dxa"/>
            <w:vAlign w:val="bottom"/>
          </w:tcPr>
          <w:p w:rsidR="007C1E03" w:rsidRPr="00CF5F4E" w:rsidRDefault="007C1E03" w:rsidP="00094A12">
            <w:pPr>
              <w:widowControl/>
              <w:jc w:val="center"/>
              <w:rPr>
                <w:rFonts w:ascii="新宋体" w:eastAsia="新宋体" w:hAnsi="新宋体" w:cs="宋体"/>
                <w:color w:val="000000"/>
                <w:kern w:val="24"/>
                <w:szCs w:val="21"/>
              </w:rPr>
            </w:pPr>
            <w:r w:rsidRPr="00CF5F4E">
              <w:rPr>
                <w:rFonts w:ascii="新宋体" w:eastAsia="新宋体" w:hAnsi="新宋体" w:cs="宋体" w:hint="eastAsia"/>
                <w:color w:val="000000"/>
                <w:kern w:val="24"/>
                <w:szCs w:val="21"/>
              </w:rPr>
              <w:t>套</w:t>
            </w:r>
          </w:p>
        </w:tc>
        <w:tc>
          <w:tcPr>
            <w:tcW w:w="1011" w:type="dxa"/>
          </w:tcPr>
          <w:p w:rsidR="007C1E03" w:rsidRPr="006B2551" w:rsidRDefault="007C1E03" w:rsidP="008A013D">
            <w:pPr>
              <w:rPr>
                <w:rFonts w:ascii="宋体" w:hAnsi="宋体"/>
                <w:color w:val="000000" w:themeColor="text1"/>
                <w:szCs w:val="21"/>
              </w:rPr>
            </w:pPr>
          </w:p>
        </w:tc>
      </w:tr>
      <w:tr w:rsidR="007C1E03" w:rsidRPr="006B2551" w:rsidTr="00F46DA2">
        <w:trPr>
          <w:trHeight w:val="266"/>
          <w:jc w:val="center"/>
        </w:trPr>
        <w:tc>
          <w:tcPr>
            <w:tcW w:w="785" w:type="dxa"/>
            <w:vAlign w:val="center"/>
          </w:tcPr>
          <w:p w:rsidR="007C1E03" w:rsidRPr="006B2551" w:rsidRDefault="007C1E03"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7C1E03" w:rsidRPr="00CF5F4E" w:rsidRDefault="007C1E03" w:rsidP="00094A12">
            <w:pPr>
              <w:widowControl/>
              <w:jc w:val="left"/>
              <w:rPr>
                <w:rFonts w:ascii="宋体" w:hAnsi="宋体"/>
                <w:szCs w:val="21"/>
              </w:rPr>
            </w:pPr>
            <w:r w:rsidRPr="00CF5F4E">
              <w:rPr>
                <w:rFonts w:ascii="宋体" w:hAnsi="宋体" w:hint="eastAsia"/>
                <w:szCs w:val="21"/>
              </w:rPr>
              <w:t>打印机</w:t>
            </w:r>
          </w:p>
        </w:tc>
        <w:tc>
          <w:tcPr>
            <w:tcW w:w="709" w:type="dxa"/>
            <w:vAlign w:val="bottom"/>
          </w:tcPr>
          <w:p w:rsidR="007C1E03" w:rsidRPr="00CF5F4E" w:rsidRDefault="007C1E03" w:rsidP="00094A12">
            <w:pPr>
              <w:widowControl/>
              <w:jc w:val="center"/>
              <w:rPr>
                <w:rFonts w:ascii="新宋体" w:eastAsia="新宋体" w:hAnsi="新宋体" w:cs="Arial"/>
                <w:color w:val="000000"/>
                <w:kern w:val="0"/>
                <w:szCs w:val="21"/>
              </w:rPr>
            </w:pPr>
            <w:r w:rsidRPr="00CF5F4E">
              <w:rPr>
                <w:rFonts w:ascii="新宋体" w:eastAsia="新宋体" w:hAnsi="新宋体" w:cs="Arial" w:hint="eastAsia"/>
                <w:color w:val="000000"/>
                <w:kern w:val="0"/>
                <w:szCs w:val="21"/>
              </w:rPr>
              <w:t>1</w:t>
            </w:r>
          </w:p>
        </w:tc>
        <w:tc>
          <w:tcPr>
            <w:tcW w:w="709" w:type="dxa"/>
            <w:vAlign w:val="bottom"/>
          </w:tcPr>
          <w:p w:rsidR="007C1E03" w:rsidRPr="00CF5F4E" w:rsidRDefault="007C1E03" w:rsidP="00094A12">
            <w:pPr>
              <w:widowControl/>
              <w:jc w:val="center"/>
              <w:rPr>
                <w:rFonts w:ascii="新宋体" w:eastAsia="新宋体" w:hAnsi="新宋体" w:cs="宋体"/>
                <w:color w:val="000000"/>
                <w:kern w:val="24"/>
                <w:szCs w:val="21"/>
              </w:rPr>
            </w:pPr>
            <w:r w:rsidRPr="00CF5F4E">
              <w:rPr>
                <w:rFonts w:ascii="新宋体" w:eastAsia="新宋体" w:hAnsi="新宋体" w:cs="宋体" w:hint="eastAsia"/>
                <w:color w:val="000000"/>
                <w:kern w:val="24"/>
                <w:szCs w:val="21"/>
              </w:rPr>
              <w:t>台</w:t>
            </w:r>
          </w:p>
        </w:tc>
        <w:tc>
          <w:tcPr>
            <w:tcW w:w="1011" w:type="dxa"/>
          </w:tcPr>
          <w:p w:rsidR="007C1E03" w:rsidRPr="006B2551" w:rsidRDefault="007C1E03"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81157D"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7C1E03">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1B0765">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sidR="001B0765">
              <w:rPr>
                <w:rFonts w:hint="eastAsia"/>
                <w:b/>
                <w:bCs/>
                <w:color w:val="FF0000"/>
                <w:szCs w:val="21"/>
                <w:u w:val="single"/>
              </w:rPr>
              <w:t>5</w:t>
            </w:r>
            <w:r>
              <w:rPr>
                <w:rFonts w:hint="eastAsia"/>
                <w:b/>
                <w:bCs/>
                <w:color w:val="FF0000"/>
                <w:szCs w:val="21"/>
                <w:u w:val="single"/>
              </w:rPr>
              <w:t xml:space="preserve">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，时间自最终验收合格并交付使用之日起计算</w:t>
            </w:r>
            <w:r>
              <w:rPr>
                <w:rFonts w:hint="eastAsia"/>
                <w:b/>
                <w:bCs/>
                <w:color w:val="FF0000"/>
                <w:szCs w:val="21"/>
              </w:rPr>
              <w:t>，以用户设备验收单日期为准</w:t>
            </w:r>
            <w:r w:rsidRPr="001648AA">
              <w:rPr>
                <w:rFonts w:hint="eastAsia"/>
                <w:b/>
                <w:bCs/>
                <w:color w:val="FF0000"/>
                <w:szCs w:val="21"/>
              </w:rPr>
              <w:t>。</w:t>
            </w:r>
            <w:r w:rsidR="00BA51EE" w:rsidRPr="00BA51EE">
              <w:rPr>
                <w:rFonts w:hint="eastAsia"/>
                <w:b/>
                <w:bCs/>
                <w:color w:val="FF0000"/>
                <w:szCs w:val="21"/>
              </w:rPr>
              <w:t>终身免费维护。</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sidRPr="00EC2A69">
              <w:rPr>
                <w:rFonts w:asciiTheme="minorEastAsia" w:eastAsiaTheme="minorEastAsia" w:hAnsiTheme="minorEastAsia" w:hint="eastAsia"/>
                <w:szCs w:val="21"/>
              </w:rPr>
              <w:t>3.2</w:t>
            </w:r>
            <w:r w:rsidR="00EC2A69" w:rsidRPr="00EC2A69">
              <w:rPr>
                <w:rFonts w:asciiTheme="minorEastAsia" w:eastAsiaTheme="minorEastAsia" w:hAnsiTheme="minorEastAsia" w:hint="eastAsia"/>
                <w:szCs w:val="21"/>
              </w:rPr>
              <w:t>供方每年为所供设备提供定期预防性维护保养次数不少于4次</w:t>
            </w:r>
            <w:r w:rsidRPr="00EC2A69">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专业培训师负责机旁操作培训，直至用户熟练使用为止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lastRenderedPageBreak/>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257741" w:rsidRPr="00EF10E2" w:rsidRDefault="00257741" w:rsidP="00096443">
            <w:r w:rsidRPr="00EF10E2">
              <w:rPr>
                <w:rFonts w:hint="eastAsia"/>
              </w:rPr>
              <w:t>4.1</w:t>
            </w:r>
            <w:r w:rsidR="00EF10E2" w:rsidRPr="00EF10E2">
              <w:rPr>
                <w:rFonts w:hint="eastAsia"/>
              </w:rPr>
              <w:t>设备安装调试完毕，经</w:t>
            </w:r>
            <w:r w:rsidR="00EF10E2">
              <w:rPr>
                <w:rFonts w:hint="eastAsia"/>
              </w:rPr>
              <w:t>需</w:t>
            </w:r>
            <w:r w:rsidR="00EF10E2" w:rsidRPr="00EF10E2">
              <w:rPr>
                <w:rFonts w:hint="eastAsia"/>
              </w:rPr>
              <w:t>方验收合格的，</w:t>
            </w:r>
            <w:r w:rsidR="00EF10E2">
              <w:rPr>
                <w:rFonts w:hint="eastAsia"/>
              </w:rPr>
              <w:t>供</w:t>
            </w:r>
            <w:r w:rsidR="00EF10E2" w:rsidRPr="00EF10E2">
              <w:rPr>
                <w:rFonts w:hint="eastAsia"/>
              </w:rPr>
              <w:t>方提供全额的发票，</w:t>
            </w:r>
            <w:r w:rsidR="00EF10E2" w:rsidRPr="00EF10E2">
              <w:rPr>
                <w:rFonts w:hint="eastAsia"/>
              </w:rPr>
              <w:t>90</w:t>
            </w:r>
            <w:r w:rsidR="00EF10E2" w:rsidRPr="00EF10E2">
              <w:rPr>
                <w:rFonts w:hint="eastAsia"/>
              </w:rPr>
              <w:t>天内支付合同总价的</w:t>
            </w:r>
            <w:r w:rsidR="00096443">
              <w:rPr>
                <w:rFonts w:hint="eastAsia"/>
              </w:rPr>
              <w:t>95</w:t>
            </w:r>
            <w:r w:rsidR="00EF10E2" w:rsidRPr="00EF10E2">
              <w:rPr>
                <w:rFonts w:hint="eastAsia"/>
              </w:rPr>
              <w:t>%</w:t>
            </w:r>
            <w:r w:rsidR="00EF10E2" w:rsidRPr="00EF10E2">
              <w:rPr>
                <w:rFonts w:hint="eastAsia"/>
              </w:rPr>
              <w:t>货款，保修期满后，由</w:t>
            </w:r>
            <w:r w:rsidR="00EF10E2">
              <w:rPr>
                <w:rFonts w:hint="eastAsia"/>
              </w:rPr>
              <w:t>供</w:t>
            </w:r>
            <w:r w:rsidR="00EF10E2" w:rsidRPr="00EF10E2">
              <w:rPr>
                <w:rFonts w:hint="eastAsia"/>
              </w:rPr>
              <w:t>方提出申请，</w:t>
            </w:r>
            <w:r w:rsidR="00EF10E2">
              <w:rPr>
                <w:rFonts w:hint="eastAsia"/>
              </w:rPr>
              <w:t>需</w:t>
            </w:r>
            <w:r w:rsidR="00EF10E2" w:rsidRPr="00EF10E2">
              <w:rPr>
                <w:rFonts w:hint="eastAsia"/>
              </w:rPr>
              <w:t>方在一个月内无息付清</w:t>
            </w:r>
            <w:r w:rsidR="00EF10E2" w:rsidRPr="00EF10E2">
              <w:rPr>
                <w:rFonts w:hint="eastAsia"/>
              </w:rPr>
              <w:t>5%</w:t>
            </w:r>
            <w:r w:rsidR="00EF10E2" w:rsidRPr="00EF10E2">
              <w:rPr>
                <w:rFonts w:hint="eastAsia"/>
              </w:rPr>
              <w:t>质保金。保修期内，</w:t>
            </w:r>
            <w:r w:rsidR="00096443" w:rsidRPr="00096443">
              <w:rPr>
                <w:rFonts w:hint="eastAsia"/>
              </w:rPr>
              <w:t>如</w:t>
            </w:r>
            <w:r w:rsidR="00096443">
              <w:rPr>
                <w:rFonts w:hint="eastAsia"/>
              </w:rPr>
              <w:t>供</w:t>
            </w:r>
            <w:r w:rsidR="00096443" w:rsidRPr="00096443">
              <w:rPr>
                <w:rFonts w:hint="eastAsia"/>
              </w:rPr>
              <w:t>方未按照本合同的约定提供售后服务或履行义务的行为不符合本合同约定的，则质保金甲方有权不予以支付。</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9D0D63">
            <w:pPr>
              <w:rPr>
                <w:b/>
              </w:rPr>
            </w:pPr>
            <w:r>
              <w:rPr>
                <w:rFonts w:hint="eastAsia"/>
              </w:rPr>
              <w:t>4.2</w:t>
            </w:r>
            <w:r w:rsidR="009D0D63">
              <w:rPr>
                <w:rFonts w:hint="eastAsia"/>
              </w:rPr>
              <w:t>供</w:t>
            </w:r>
            <w:r w:rsidR="009D0D63" w:rsidRPr="009D0D63">
              <w:rPr>
                <w:rFonts w:hint="eastAsia"/>
              </w:rPr>
              <w:t>方逾期交付设备的，每逾期一天，应向</w:t>
            </w:r>
            <w:r w:rsidR="009D0D63">
              <w:rPr>
                <w:rFonts w:hint="eastAsia"/>
              </w:rPr>
              <w:t>需</w:t>
            </w:r>
            <w:r w:rsidR="009D0D63" w:rsidRPr="009D0D63">
              <w:rPr>
                <w:rFonts w:hint="eastAsia"/>
              </w:rPr>
              <w:t>方支付合同总价</w:t>
            </w:r>
            <w:r w:rsidR="009D0D63" w:rsidRPr="009D0D63">
              <w:rPr>
                <w:rFonts w:hint="eastAsia"/>
              </w:rPr>
              <w:t>0.5%</w:t>
            </w:r>
            <w:r w:rsidR="009D0D63" w:rsidRPr="009D0D63">
              <w:rPr>
                <w:rFonts w:hint="eastAsia"/>
              </w:rPr>
              <w:t>的违约金。</w:t>
            </w:r>
            <w:r w:rsidR="009D0D63">
              <w:rPr>
                <w:rFonts w:hint="eastAsia"/>
              </w:rPr>
              <w:t>供</w:t>
            </w:r>
            <w:r w:rsidR="009D0D63" w:rsidRPr="009D0D63">
              <w:rPr>
                <w:rFonts w:hint="eastAsia"/>
              </w:rPr>
              <w:t>方逾期交货达</w:t>
            </w:r>
            <w:r w:rsidR="009D0D63" w:rsidRPr="009D0D63">
              <w:rPr>
                <w:rFonts w:hint="eastAsia"/>
              </w:rPr>
              <w:t>10</w:t>
            </w:r>
            <w:r w:rsidR="009D0D63" w:rsidRPr="009D0D63">
              <w:rPr>
                <w:rFonts w:hint="eastAsia"/>
              </w:rPr>
              <w:t>个自然日仍未完成交货义务的，视为</w:t>
            </w:r>
            <w:r w:rsidR="009D0D63">
              <w:rPr>
                <w:rFonts w:hint="eastAsia"/>
              </w:rPr>
              <w:t>供</w:t>
            </w:r>
            <w:r w:rsidR="009D0D63" w:rsidRPr="009D0D63">
              <w:rPr>
                <w:rFonts w:hint="eastAsia"/>
              </w:rPr>
              <w:t>方不能交货，</w:t>
            </w:r>
            <w:r w:rsidR="009D0D63">
              <w:rPr>
                <w:rFonts w:hint="eastAsia"/>
              </w:rPr>
              <w:t>需</w:t>
            </w:r>
            <w:r w:rsidR="009D0D63" w:rsidRPr="009D0D63">
              <w:rPr>
                <w:rFonts w:hint="eastAsia"/>
              </w:rPr>
              <w:t>方有权解除合同，并有权要求</w:t>
            </w:r>
            <w:r w:rsidR="009D0D63">
              <w:rPr>
                <w:rFonts w:hint="eastAsia"/>
              </w:rPr>
              <w:t>供</w:t>
            </w:r>
            <w:r w:rsidR="009D0D63" w:rsidRPr="009D0D63">
              <w:rPr>
                <w:rFonts w:hint="eastAsia"/>
              </w:rPr>
              <w:t>方支付合同总价</w:t>
            </w:r>
            <w:r w:rsidR="009D0D63" w:rsidRPr="009D0D63">
              <w:rPr>
                <w:rFonts w:hint="eastAsia"/>
              </w:rPr>
              <w:t>30%</w:t>
            </w:r>
            <w:r w:rsidR="009D0D63" w:rsidRPr="009D0D63">
              <w:rPr>
                <w:rFonts w:hint="eastAsia"/>
              </w:rPr>
              <w:t>的违约金。</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ED2" w:rsidRDefault="00C70ED2" w:rsidP="006C75A6">
      <w:r>
        <w:separator/>
      </w:r>
    </w:p>
  </w:endnote>
  <w:endnote w:type="continuationSeparator" w:id="0">
    <w:p w:rsidR="00C70ED2" w:rsidRDefault="00C70ED2"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A5414">
        <w:pPr>
          <w:pStyle w:val="afe"/>
        </w:pPr>
        <w:r>
          <w:fldChar w:fldCharType="begin"/>
        </w:r>
        <w:r w:rsidR="00E7702A">
          <w:instrText xml:space="preserve"> PAGE   \* MERGEFORMAT </w:instrText>
        </w:r>
        <w:r>
          <w:fldChar w:fldCharType="separate"/>
        </w:r>
        <w:r w:rsidR="00D32D6B" w:rsidRPr="00D32D6B">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A5414">
        <w:pPr>
          <w:pStyle w:val="afe"/>
          <w:jc w:val="right"/>
        </w:pPr>
        <w:r>
          <w:fldChar w:fldCharType="begin"/>
        </w:r>
        <w:r w:rsidR="00E7702A">
          <w:instrText xml:space="preserve"> PAGE   \* MERGEFORMAT </w:instrText>
        </w:r>
        <w:r>
          <w:fldChar w:fldCharType="separate"/>
        </w:r>
        <w:r w:rsidR="00D32D6B" w:rsidRPr="00D32D6B">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ED2" w:rsidRDefault="00C70ED2" w:rsidP="006C75A6">
      <w:r>
        <w:separator/>
      </w:r>
    </w:p>
  </w:footnote>
  <w:footnote w:type="continuationSeparator" w:id="0">
    <w:p w:rsidR="00C70ED2" w:rsidRDefault="00C70ED2"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765"/>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51E2"/>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2CE1"/>
    <w:rsid w:val="006A3EE1"/>
    <w:rsid w:val="006A4D27"/>
    <w:rsid w:val="006A5414"/>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1E03"/>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95762"/>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0ED2"/>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2D6B"/>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9783B"/>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14404B-A7C5-4854-A32C-620D9691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916A5-2B81-4A93-A29C-1E94B5D7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2403</Characters>
  <Application>Microsoft Office Word</Application>
  <DocSecurity>0</DocSecurity>
  <Lines>20</Lines>
  <Paragraphs>5</Paragraphs>
  <ScaleCrop>false</ScaleCrop>
  <Company>MS</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2021-01-29T09:37:00Z</dcterms:created>
  <dcterms:modified xsi:type="dcterms:W3CDTF">2021-01-29T09:37:00Z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